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41888202"/>
        <w:docPartObj>
          <w:docPartGallery w:val="Cover Pages"/>
          <w:docPartUnique/>
        </w:docPartObj>
      </w:sdtPr>
      <w:sdtContent>
        <w:p w14:paraId="5B5602D4" w14:textId="10F8E137" w:rsidR="00C3390A" w:rsidRDefault="00C3390A"/>
        <w:p w14:paraId="36917670" w14:textId="5ACD4C67" w:rsidR="00C3390A" w:rsidRDefault="00C3390A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02020FA" wp14:editId="7B9DF7A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1355725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796ED9" w14:textId="331799CE" w:rsidR="00C3390A" w:rsidRDefault="00C3390A" w:rsidP="00C3390A">
                                <w:pPr>
                                  <w:pStyle w:val="Sinespaciado"/>
                                  <w:spacing w:before="40" w:after="560" w:line="216" w:lineRule="auto"/>
                                  <w:jc w:val="center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Líneas de extensión universitaria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E9E2B3D" w14:textId="2BC61591" w:rsidR="00C3390A" w:rsidRDefault="00C3390A" w:rsidP="00C3390A">
                                    <w:pPr>
                                      <w:pStyle w:val="Sinespaciado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derecho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4ED83AD" w14:textId="51FF699C" w:rsidR="00C3390A" w:rsidRDefault="00C3390A" w:rsidP="00C3390A">
                                    <w:pPr>
                                      <w:pStyle w:val="Sinespaciado"/>
                                      <w:spacing w:before="80" w:after="40"/>
                                      <w:jc w:val="center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Departamento de Extensión Universitaria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02020F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5796ED9" w14:textId="331799CE" w:rsidR="00C3390A" w:rsidRDefault="00C3390A" w:rsidP="00C3390A">
                          <w:pPr>
                            <w:pStyle w:val="Sinespaciado"/>
                            <w:spacing w:before="40" w:after="560" w:line="216" w:lineRule="auto"/>
                            <w:jc w:val="center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Líneas de extensión universitaria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E9E2B3D" w14:textId="2BC61591" w:rsidR="00C3390A" w:rsidRDefault="00C3390A" w:rsidP="00C3390A">
                              <w:pPr>
                                <w:pStyle w:val="Sinespaciado"/>
                                <w:spacing w:before="40" w:after="40"/>
                                <w:jc w:val="center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derecho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4ED83AD" w14:textId="51FF699C" w:rsidR="00C3390A" w:rsidRDefault="00C3390A" w:rsidP="00C3390A">
                              <w:pPr>
                                <w:pStyle w:val="Sinespaciado"/>
                                <w:spacing w:before="80" w:after="40"/>
                                <w:jc w:val="center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Departamento de Extensión Universitaria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31A909" wp14:editId="596AA1B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15875" b="19050"/>
                    <wp:wrapNone/>
                    <wp:docPr id="132" name="Rectá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EE0000"/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6E14663" w14:textId="469F07D5" w:rsidR="00C3390A" w:rsidRDefault="00C3390A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s-ES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631A909" id="Rectángu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" fillcolor="#e00" strokecolor="#c00000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6E14663" w14:textId="469F07D5" w:rsidR="00C3390A" w:rsidRDefault="00C3390A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Calibri" w:eastAsiaTheme="minorEastAsia" w:hAnsi="Calibri" w:cstheme="minorBidi"/>
          <w:color w:val="auto"/>
          <w:sz w:val="22"/>
          <w:szCs w:val="22"/>
          <w:lang w:val="es-ES" w:eastAsia="es-MX"/>
        </w:rPr>
        <w:id w:val="-7630684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D84810" w14:textId="799A7BEF" w:rsidR="00354D43" w:rsidRPr="00354D43" w:rsidRDefault="00354D43" w:rsidP="00354D43">
          <w:pPr>
            <w:pStyle w:val="TtuloTDC"/>
            <w:jc w:val="center"/>
            <w:rPr>
              <w:rFonts w:cstheme="majorHAnsi"/>
              <w:b/>
              <w:bCs/>
              <w:color w:val="auto"/>
              <w:sz w:val="24"/>
              <w:szCs w:val="24"/>
            </w:rPr>
          </w:pPr>
          <w:r w:rsidRPr="00354D43">
            <w:rPr>
              <w:rFonts w:cstheme="majorHAnsi"/>
              <w:b/>
              <w:bCs/>
              <w:color w:val="auto"/>
              <w:sz w:val="24"/>
              <w:szCs w:val="24"/>
              <w:lang w:val="es-ES"/>
            </w:rPr>
            <w:t>Contenido</w:t>
          </w:r>
        </w:p>
        <w:p w14:paraId="6D4F3CF5" w14:textId="7DBAD4DF" w:rsidR="005745EA" w:rsidRDefault="00354D43">
          <w:pPr>
            <w:pStyle w:val="TDC1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927943" w:history="1">
            <w:r w:rsidR="005745EA" w:rsidRPr="007A136F">
              <w:rPr>
                <w:rStyle w:val="Hipervnculo"/>
                <w:bCs/>
                <w:noProof/>
                <w:lang w:val="es-ES"/>
              </w:rPr>
              <w:t>Lineamientos de Investigación</w:t>
            </w:r>
            <w:r w:rsidR="005745EA">
              <w:rPr>
                <w:noProof/>
                <w:webHidden/>
              </w:rPr>
              <w:tab/>
            </w:r>
            <w:r w:rsidR="005745EA">
              <w:rPr>
                <w:noProof/>
                <w:webHidden/>
              </w:rPr>
              <w:fldChar w:fldCharType="begin"/>
            </w:r>
            <w:r w:rsidR="005745EA">
              <w:rPr>
                <w:noProof/>
                <w:webHidden/>
              </w:rPr>
              <w:instrText xml:space="preserve"> PAGEREF _Toc217927943 \h </w:instrText>
            </w:r>
            <w:r w:rsidR="005745EA">
              <w:rPr>
                <w:noProof/>
                <w:webHidden/>
              </w:rPr>
            </w:r>
            <w:r w:rsidR="005745EA">
              <w:rPr>
                <w:noProof/>
                <w:webHidden/>
              </w:rPr>
              <w:fldChar w:fldCharType="separate"/>
            </w:r>
            <w:r w:rsidR="005745EA">
              <w:rPr>
                <w:noProof/>
                <w:webHidden/>
              </w:rPr>
              <w:t>3</w:t>
            </w:r>
            <w:r w:rsidR="005745EA">
              <w:rPr>
                <w:noProof/>
                <w:webHidden/>
              </w:rPr>
              <w:fldChar w:fldCharType="end"/>
            </w:r>
          </w:hyperlink>
        </w:p>
        <w:p w14:paraId="13E28708" w14:textId="25761D60" w:rsidR="005745EA" w:rsidRDefault="005745EA">
          <w:pPr>
            <w:pStyle w:val="TDC1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44" w:history="1">
            <w:r w:rsidRPr="007A136F">
              <w:rPr>
                <w:rStyle w:val="Hipervnculo"/>
                <w:bCs/>
                <w:noProof/>
                <w:lang w:val="es-ES"/>
              </w:rPr>
              <w:t>Marco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2F37A" w14:textId="5DAC48B3" w:rsidR="005745EA" w:rsidRDefault="005745EA">
          <w:pPr>
            <w:pStyle w:val="TDC1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45" w:history="1">
            <w:r w:rsidRPr="007A136F">
              <w:rPr>
                <w:rStyle w:val="Hipervnculo"/>
                <w:bCs/>
                <w:noProof/>
                <w:lang w:val="es-ES"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38AA8" w14:textId="3D338CEE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46" w:history="1">
            <w:r w:rsidRPr="007A136F">
              <w:rPr>
                <w:rStyle w:val="Hipervnculo"/>
                <w:bCs/>
                <w:noProof/>
                <w:lang w:val="es-ES"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B01E8" w14:textId="2A399C1B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47" w:history="1">
            <w:r w:rsidRPr="007A136F">
              <w:rPr>
                <w:rStyle w:val="Hipervnculo"/>
                <w:bCs/>
                <w:noProof/>
                <w:lang w:val="es-ES"/>
              </w:rPr>
              <w:t>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507EF" w14:textId="5EFF4900" w:rsidR="005745EA" w:rsidRDefault="005745EA">
          <w:pPr>
            <w:pStyle w:val="TDC1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48" w:history="1">
            <w:r w:rsidRPr="007A136F">
              <w:rPr>
                <w:rStyle w:val="Hipervnculo"/>
                <w:bCs/>
                <w:noProof/>
                <w:lang w:val="es-ES"/>
              </w:rPr>
              <w:t>Líneas de extensión prioritarias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E2FD2" w14:textId="657DEB5E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49" w:history="1">
            <w:r w:rsidRPr="007A136F">
              <w:rPr>
                <w:rStyle w:val="Hipervnculo"/>
                <w:bCs/>
                <w:noProof/>
                <w:lang w:val="es-ES"/>
              </w:rPr>
              <w:t>Desarrollo Comunitario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D5685" w14:textId="7021BE8D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0" w:history="1">
            <w:r w:rsidRPr="007A136F">
              <w:rPr>
                <w:rStyle w:val="Hipervnculo"/>
                <w:bCs/>
                <w:noProof/>
                <w:lang w:val="es-ES"/>
              </w:rPr>
              <w:t>Capacitación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CEDE0" w14:textId="20575355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1" w:history="1">
            <w:r w:rsidRPr="007A136F">
              <w:rPr>
                <w:rStyle w:val="Hipervnculo"/>
                <w:bCs/>
                <w:noProof/>
                <w:lang w:val="es-ES"/>
              </w:rPr>
              <w:t>Difusión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EA81C" w14:textId="2574124C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2" w:history="1">
            <w:r w:rsidRPr="007A136F">
              <w:rPr>
                <w:rStyle w:val="Hipervnculo"/>
                <w:bCs/>
                <w:noProof/>
                <w:lang w:val="es-ES"/>
              </w:rPr>
              <w:t>Actividad cultural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3E5DC" w14:textId="722DA808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3" w:history="1">
            <w:r w:rsidRPr="007A136F">
              <w:rPr>
                <w:rStyle w:val="Hipervnculo"/>
                <w:bCs/>
                <w:noProof/>
                <w:lang w:val="es-ES"/>
              </w:rPr>
              <w:t>Voluntariado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5D86C" w14:textId="749CCA9E" w:rsidR="005745EA" w:rsidRDefault="005745EA">
          <w:pPr>
            <w:pStyle w:val="TDC1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4" w:history="1">
            <w:r w:rsidRPr="007A136F">
              <w:rPr>
                <w:rStyle w:val="Hipervnculo"/>
                <w:bCs/>
                <w:noProof/>
                <w:lang w:val="es-ES"/>
              </w:rPr>
              <w:t>Estructura de Gestión de la Extensión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CAD95" w14:textId="091CD56E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5" w:history="1">
            <w:r w:rsidRPr="007A136F">
              <w:rPr>
                <w:rStyle w:val="Hipervnculo"/>
                <w:bCs/>
                <w:noProof/>
                <w:lang w:val="es-ES"/>
              </w:rPr>
              <w:t>Departamento de Extensión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BFAD4" w14:textId="578339B2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6" w:history="1">
            <w:r w:rsidRPr="007A136F">
              <w:rPr>
                <w:rStyle w:val="Hipervnculo"/>
                <w:bCs/>
                <w:noProof/>
                <w:lang w:val="es-ES"/>
              </w:rPr>
              <w:t>Condiciones y procedimientos para el otorgamiento de recursos financieros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27EB8" w14:textId="3148BD7E" w:rsidR="005745EA" w:rsidRDefault="005745EA">
          <w:pPr>
            <w:pStyle w:val="TDC1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7" w:history="1">
            <w:r w:rsidRPr="007A136F">
              <w:rPr>
                <w:rStyle w:val="Hipervnculo"/>
                <w:bCs/>
                <w:noProof/>
                <w:lang w:val="es-ES"/>
              </w:rPr>
              <w:t>Condiciones de elegibilidad y criterios de asignación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41B4F" w14:textId="18738C82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8" w:history="1">
            <w:r w:rsidRPr="007A136F">
              <w:rPr>
                <w:rStyle w:val="Hipervnculo"/>
                <w:bCs/>
                <w:noProof/>
                <w:lang w:val="es-ES"/>
              </w:rPr>
              <w:t>Alineación Estratégica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85D99" w14:textId="74165008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59" w:history="1">
            <w:r w:rsidRPr="007A136F">
              <w:rPr>
                <w:rStyle w:val="Hipervnculo"/>
                <w:bCs/>
                <w:noProof/>
                <w:lang w:val="es-ES"/>
              </w:rPr>
              <w:t>Vinculación institucional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B7D64" w14:textId="5CFD3BD0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60" w:history="1">
            <w:r w:rsidRPr="007A136F">
              <w:rPr>
                <w:rStyle w:val="Hipervnculo"/>
                <w:bCs/>
                <w:noProof/>
                <w:lang w:val="es-ES"/>
              </w:rPr>
              <w:t>Presupuesto detallado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631C2" w14:textId="1D2FB259" w:rsidR="005745EA" w:rsidRDefault="005745EA">
          <w:pPr>
            <w:pStyle w:val="TDC1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61" w:history="1">
            <w:r w:rsidRPr="007A136F">
              <w:rPr>
                <w:rStyle w:val="Hipervnculo"/>
                <w:bCs/>
                <w:noProof/>
                <w:lang w:val="es-ES"/>
              </w:rPr>
              <w:t>Procedimiento para la adjudicación de fondos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F9D71" w14:textId="10070B80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62" w:history="1">
            <w:r w:rsidRPr="007A136F">
              <w:rPr>
                <w:rStyle w:val="Hipervnculo"/>
                <w:bCs/>
                <w:noProof/>
                <w:lang w:val="es-ES"/>
              </w:rPr>
              <w:t>Presentación Formal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7DA35" w14:textId="0A7D4FFC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63" w:history="1">
            <w:r w:rsidRPr="007A136F">
              <w:rPr>
                <w:rStyle w:val="Hipervnculo"/>
                <w:bCs/>
                <w:noProof/>
                <w:lang w:val="es-ES"/>
              </w:rPr>
              <w:t>Evaluación por parte del Departamento de extensión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AFB4D" w14:textId="4DF2840A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64" w:history="1">
            <w:r w:rsidRPr="007A136F">
              <w:rPr>
                <w:rStyle w:val="Hipervnculo"/>
                <w:bCs/>
                <w:noProof/>
                <w:lang w:val="es-ES"/>
              </w:rPr>
              <w:t>Adjudicación y Compromiso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7567F" w14:textId="6B8D4D1A" w:rsidR="005745EA" w:rsidRDefault="005745EA">
          <w:pPr>
            <w:pStyle w:val="TDC2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65" w:history="1">
            <w:r w:rsidRPr="007A136F">
              <w:rPr>
                <w:rStyle w:val="Hipervnculo"/>
                <w:bCs/>
                <w:noProof/>
                <w:lang w:val="es-ES"/>
              </w:rPr>
              <w:t>Rendición de Cuentas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E0F58" w14:textId="7471F1FD" w:rsidR="005745EA" w:rsidRDefault="005745EA">
          <w:pPr>
            <w:pStyle w:val="TDC1"/>
            <w:tabs>
              <w:tab w:val="right" w:leader="dot" w:pos="9016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s-PY" w:eastAsia="es-PY"/>
              <w14:ligatures w14:val="standardContextual"/>
            </w:rPr>
          </w:pPr>
          <w:hyperlink w:anchor="_Toc217927966" w:history="1">
            <w:r w:rsidRPr="007A136F">
              <w:rPr>
                <w:rStyle w:val="Hipervnculo"/>
                <w:bCs/>
                <w:noProof/>
                <w:lang w:val="es-ES"/>
              </w:rPr>
              <w:t>Difusión y publicación de las actividades de extensión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_Toc217927966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14E07" w14:textId="585F7694" w:rsidR="00354D43" w:rsidRDefault="00354D43">
          <w:r>
            <w:rPr>
              <w:b/>
              <w:bCs/>
              <w:lang w:val="es-ES"/>
            </w:rPr>
            <w:fldChar w:fldCharType="end"/>
          </w:r>
        </w:p>
      </w:sdtContent>
    </w:sdt>
    <w:p w14:paraId="08E8D135" w14:textId="77777777" w:rsidR="00354D43" w:rsidRDefault="00354D43" w:rsidP="0056217A">
      <w:pPr>
        <w:pStyle w:val="Ttulo1"/>
        <w:rPr>
          <w:bCs/>
          <w:sz w:val="24"/>
          <w:szCs w:val="18"/>
          <w:lang w:val="es-ES"/>
        </w:rPr>
      </w:pPr>
    </w:p>
    <w:p w14:paraId="0974861B" w14:textId="77777777" w:rsidR="00354D43" w:rsidRDefault="00354D43" w:rsidP="00354D43">
      <w:pPr>
        <w:rPr>
          <w:lang w:val="es-ES" w:eastAsia="en-US"/>
        </w:rPr>
      </w:pPr>
    </w:p>
    <w:p w14:paraId="59F25B31" w14:textId="77777777" w:rsidR="00354D43" w:rsidRDefault="00354D43" w:rsidP="00354D43">
      <w:pPr>
        <w:rPr>
          <w:lang w:val="es-ES" w:eastAsia="en-US"/>
        </w:rPr>
      </w:pPr>
    </w:p>
    <w:p w14:paraId="6C2FAB77" w14:textId="77777777" w:rsidR="00354D43" w:rsidRDefault="00354D43" w:rsidP="00354D43">
      <w:pPr>
        <w:rPr>
          <w:lang w:val="es-ES" w:eastAsia="en-US"/>
        </w:rPr>
      </w:pPr>
    </w:p>
    <w:p w14:paraId="7AC2BF94" w14:textId="77777777" w:rsidR="00354D43" w:rsidRDefault="00354D43" w:rsidP="00354D43">
      <w:pPr>
        <w:rPr>
          <w:lang w:val="es-ES" w:eastAsia="en-US"/>
        </w:rPr>
      </w:pPr>
    </w:p>
    <w:p w14:paraId="14D501C4" w14:textId="77777777" w:rsidR="00354D43" w:rsidRPr="00354D43" w:rsidRDefault="00354D43" w:rsidP="00354D43">
      <w:pPr>
        <w:rPr>
          <w:lang w:val="es-ES" w:eastAsia="en-US"/>
        </w:rPr>
      </w:pPr>
    </w:p>
    <w:p w14:paraId="37A29E21" w14:textId="3D65E401" w:rsidR="00AF18B9" w:rsidRPr="0056217A" w:rsidRDefault="00AF18B9" w:rsidP="0056217A">
      <w:pPr>
        <w:pStyle w:val="Ttulo1"/>
        <w:rPr>
          <w:b w:val="0"/>
          <w:bCs/>
          <w:sz w:val="24"/>
          <w:szCs w:val="18"/>
          <w:lang w:val="es-ES"/>
        </w:rPr>
      </w:pPr>
      <w:bookmarkStart w:id="0" w:name="_Toc217927943"/>
      <w:r w:rsidRPr="0056217A">
        <w:rPr>
          <w:bCs/>
          <w:sz w:val="24"/>
          <w:szCs w:val="18"/>
          <w:lang w:val="es-ES"/>
        </w:rPr>
        <w:lastRenderedPageBreak/>
        <w:t>Lineamientos de Investigación</w:t>
      </w:r>
      <w:bookmarkEnd w:id="0"/>
      <w:r w:rsidRPr="0056217A">
        <w:rPr>
          <w:bCs/>
          <w:sz w:val="24"/>
          <w:szCs w:val="18"/>
          <w:lang w:val="es-ES"/>
        </w:rPr>
        <w:t xml:space="preserve"> </w:t>
      </w:r>
    </w:p>
    <w:p w14:paraId="25DFFDEB" w14:textId="3C44667E" w:rsidR="004172D0" w:rsidRPr="004172D0" w:rsidRDefault="004172D0" w:rsidP="003B589F">
      <w:pPr>
        <w:jc w:val="both"/>
        <w:rPr>
          <w:lang w:val="es-ES"/>
        </w:rPr>
      </w:pPr>
      <w:r w:rsidRPr="004172D0">
        <w:rPr>
          <w:lang w:val="es-ES"/>
        </w:rPr>
        <w:t xml:space="preserve">El plan de Extensión Universitaria de la carrera de </w:t>
      </w:r>
      <w:r w:rsidR="000851C0">
        <w:rPr>
          <w:lang w:val="es-ES"/>
        </w:rPr>
        <w:t>Ingeniería en Informática</w:t>
      </w:r>
      <w:r w:rsidR="001966E4">
        <w:rPr>
          <w:lang w:val="es-ES"/>
        </w:rPr>
        <w:t xml:space="preserve"> </w:t>
      </w:r>
      <w:r w:rsidRPr="004172D0">
        <w:rPr>
          <w:lang w:val="es-ES"/>
        </w:rPr>
        <w:t xml:space="preserve">de la Universidad Nihon Gakko comprenderá el desarrollo proyectos y acciones enfocadas a reforzar el aprendizaje académico de los/as estudiantes y la transmisión de conocimientos científicos y prácticos. </w:t>
      </w:r>
    </w:p>
    <w:p w14:paraId="1EF2D3D1" w14:textId="0BFAE944" w:rsidR="009D20F0" w:rsidRPr="0056217A" w:rsidRDefault="009D20F0" w:rsidP="0056217A">
      <w:pPr>
        <w:pStyle w:val="Ttulo1"/>
        <w:rPr>
          <w:bCs/>
          <w:sz w:val="24"/>
          <w:szCs w:val="18"/>
          <w:lang w:val="es-ES"/>
        </w:rPr>
      </w:pPr>
      <w:bookmarkStart w:id="1" w:name="_Toc217927944"/>
      <w:r w:rsidRPr="0056217A">
        <w:rPr>
          <w:bCs/>
          <w:sz w:val="24"/>
          <w:szCs w:val="18"/>
          <w:lang w:val="es-ES"/>
        </w:rPr>
        <w:t xml:space="preserve">Marco </w:t>
      </w:r>
      <w:r w:rsidR="00FA25FE">
        <w:rPr>
          <w:bCs/>
          <w:sz w:val="24"/>
          <w:szCs w:val="18"/>
          <w:lang w:val="es-ES"/>
        </w:rPr>
        <w:t>g</w:t>
      </w:r>
      <w:r w:rsidR="00AF18B9" w:rsidRPr="0056217A">
        <w:rPr>
          <w:bCs/>
          <w:sz w:val="24"/>
          <w:szCs w:val="18"/>
          <w:lang w:val="es-ES"/>
        </w:rPr>
        <w:t>eneral</w:t>
      </w:r>
      <w:bookmarkEnd w:id="1"/>
      <w:r w:rsidR="00AF18B9" w:rsidRPr="0056217A">
        <w:rPr>
          <w:bCs/>
          <w:sz w:val="24"/>
          <w:szCs w:val="18"/>
          <w:lang w:val="es-ES"/>
        </w:rPr>
        <w:t xml:space="preserve"> </w:t>
      </w:r>
    </w:p>
    <w:p w14:paraId="3315BA7A" w14:textId="77777777" w:rsidR="009D20F0" w:rsidRPr="004172D0" w:rsidRDefault="009D20F0" w:rsidP="003B589F">
      <w:pPr>
        <w:jc w:val="both"/>
        <w:rPr>
          <w:lang w:val="es-ES"/>
        </w:rPr>
      </w:pPr>
      <w:r w:rsidRPr="004172D0">
        <w:rPr>
          <w:lang w:val="es-ES"/>
        </w:rPr>
        <w:t xml:space="preserve">Las actividades de extensión serán impulsadas, promovidas y desarrolladas por la carrera y deberá basarse en una necesidad detectada, por medio de un diagnóstico específico, utilizando para ello instrumentos de recolección de datos y su sistematización correspondiente. </w:t>
      </w:r>
    </w:p>
    <w:p w14:paraId="072CE0C7" w14:textId="77777777" w:rsidR="009D20F0" w:rsidRPr="0056217A" w:rsidRDefault="00AF18B9" w:rsidP="0056217A">
      <w:pPr>
        <w:pStyle w:val="Ttulo1"/>
        <w:rPr>
          <w:bCs/>
          <w:sz w:val="24"/>
          <w:szCs w:val="18"/>
          <w:lang w:val="es-ES"/>
        </w:rPr>
      </w:pPr>
      <w:bookmarkStart w:id="2" w:name="_Toc217927945"/>
      <w:r w:rsidRPr="0056217A">
        <w:rPr>
          <w:bCs/>
          <w:sz w:val="24"/>
          <w:szCs w:val="18"/>
          <w:lang w:val="es-ES"/>
        </w:rPr>
        <w:t>Objetivo</w:t>
      </w:r>
      <w:bookmarkEnd w:id="2"/>
    </w:p>
    <w:p w14:paraId="309E4BC8" w14:textId="5FB7F1AE" w:rsidR="00AF18B9" w:rsidRPr="00AF18B9" w:rsidRDefault="009D20F0" w:rsidP="0056217A">
      <w:pPr>
        <w:pStyle w:val="Ttulo2"/>
        <w:ind w:left="20"/>
        <w:rPr>
          <w:b w:val="0"/>
          <w:bCs/>
          <w:lang w:val="es-ES"/>
        </w:rPr>
      </w:pPr>
      <w:bookmarkStart w:id="3" w:name="_Toc217927946"/>
      <w:r>
        <w:rPr>
          <w:b w:val="0"/>
          <w:bCs/>
          <w:lang w:val="es-ES"/>
        </w:rPr>
        <w:t>General</w:t>
      </w:r>
      <w:bookmarkEnd w:id="3"/>
    </w:p>
    <w:p w14:paraId="3AFB43D9" w14:textId="77777777" w:rsidR="00F63E21" w:rsidRPr="00F63E21" w:rsidRDefault="00F63E21" w:rsidP="003B589F">
      <w:pPr>
        <w:pStyle w:val="Prrafodelista"/>
        <w:keepNext w:val="0"/>
        <w:keepLines w:val="0"/>
        <w:numPr>
          <w:ilvl w:val="0"/>
          <w:numId w:val="13"/>
        </w:numPr>
        <w:spacing w:before="0" w:after="160" w:line="278" w:lineRule="auto"/>
        <w:jc w:val="both"/>
        <w:outlineLvl w:val="9"/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</w:pPr>
      <w:r w:rsidRPr="00F63E21"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  <w:t>Promover el desarrollo de actividades de fortalecimiento de las capacidades personales y profesionales por medio de actividades de extensión universitaria en ámbitos de formación, capacitación y servicio a la comunidad educativa y sus partes interesadas.</w:t>
      </w:r>
    </w:p>
    <w:p w14:paraId="4F6BB5E2" w14:textId="4DA7BDFC" w:rsidR="00AF18B9" w:rsidRPr="0056217A" w:rsidRDefault="00AF18B9" w:rsidP="0056217A">
      <w:pPr>
        <w:pStyle w:val="Ttulo2"/>
        <w:ind w:left="20"/>
        <w:rPr>
          <w:b w:val="0"/>
          <w:bCs/>
          <w:lang w:val="es-ES"/>
        </w:rPr>
      </w:pPr>
      <w:bookmarkStart w:id="4" w:name="_Toc217927947"/>
      <w:r w:rsidRPr="0056217A">
        <w:rPr>
          <w:b w:val="0"/>
          <w:bCs/>
          <w:lang w:val="es-ES"/>
        </w:rPr>
        <w:t>Específicos</w:t>
      </w:r>
      <w:bookmarkEnd w:id="4"/>
    </w:p>
    <w:p w14:paraId="55329A4B" w14:textId="52A5FF20" w:rsidR="000851C0" w:rsidRPr="000851C0" w:rsidRDefault="000851C0" w:rsidP="000851C0">
      <w:pPr>
        <w:pStyle w:val="Prrafodelista"/>
        <w:keepNext w:val="0"/>
        <w:keepLines w:val="0"/>
        <w:numPr>
          <w:ilvl w:val="0"/>
          <w:numId w:val="13"/>
        </w:numPr>
        <w:spacing w:before="0" w:after="160" w:line="278" w:lineRule="auto"/>
        <w:jc w:val="both"/>
        <w:outlineLvl w:val="9"/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</w:pPr>
      <w:r w:rsidRPr="000851C0"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  <w:t>Ofrecer oportunidades de formación y capacitación a la comunidad educativa y partes interesadas</w:t>
      </w:r>
      <w:r w:rsidR="002470E2"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  <w:t xml:space="preserve">, </w:t>
      </w:r>
      <w:r w:rsidR="002470E2" w:rsidRPr="002470E2"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  <w:t>con base a diagnósticos realizados.</w:t>
      </w:r>
    </w:p>
    <w:p w14:paraId="670C0FB3" w14:textId="77777777" w:rsidR="002470E2" w:rsidRDefault="002470E2" w:rsidP="00507FA9">
      <w:pPr>
        <w:pStyle w:val="Prrafodelista"/>
        <w:keepNext w:val="0"/>
        <w:keepLines w:val="0"/>
        <w:numPr>
          <w:ilvl w:val="0"/>
          <w:numId w:val="13"/>
        </w:numPr>
        <w:spacing w:before="0" w:after="160" w:line="278" w:lineRule="auto"/>
        <w:jc w:val="both"/>
        <w:outlineLvl w:val="9"/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</w:pPr>
      <w:r w:rsidRPr="002470E2"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  <w:t>Promover la difusión del conocimiento científico y la publicación de materiales con rigor científico</w:t>
      </w:r>
      <w:r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  <w:t>.</w:t>
      </w:r>
    </w:p>
    <w:p w14:paraId="2FE61D4A" w14:textId="54C343E8" w:rsidR="000851C0" w:rsidRPr="005745EA" w:rsidRDefault="000851C0" w:rsidP="00507FA9">
      <w:pPr>
        <w:pStyle w:val="Prrafodelista"/>
        <w:keepNext w:val="0"/>
        <w:keepLines w:val="0"/>
        <w:numPr>
          <w:ilvl w:val="0"/>
          <w:numId w:val="13"/>
        </w:numPr>
        <w:spacing w:before="0" w:after="160" w:line="278" w:lineRule="auto"/>
        <w:jc w:val="both"/>
        <w:outlineLvl w:val="9"/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</w:pPr>
      <w:r w:rsidRPr="005745EA">
        <w:rPr>
          <w:rFonts w:ascii="Calibri" w:eastAsiaTheme="minorEastAsia" w:hAnsi="Calibri" w:cstheme="minorBidi"/>
          <w:color w:val="auto"/>
          <w:kern w:val="0"/>
          <w:sz w:val="22"/>
          <w:szCs w:val="22"/>
          <w:lang w:val="es-ES" w:eastAsia="es-MX"/>
          <w14:ligatures w14:val="none"/>
        </w:rPr>
        <w:t>Fortalecer los vínculos de la comunidad educativa con entes gubernamentales y sector privado para el trabajo interinstitucional y aprendizaje colaborativo a través de la extensión universitaria</w:t>
      </w:r>
    </w:p>
    <w:p w14:paraId="29E649A3" w14:textId="350F216A" w:rsidR="00AF18B9" w:rsidRPr="0056217A" w:rsidRDefault="00AF18B9" w:rsidP="0056217A">
      <w:pPr>
        <w:pStyle w:val="Ttulo1"/>
        <w:rPr>
          <w:bCs/>
          <w:sz w:val="24"/>
          <w:szCs w:val="18"/>
          <w:lang w:val="es-ES"/>
        </w:rPr>
      </w:pPr>
      <w:bookmarkStart w:id="5" w:name="_Toc217927948"/>
      <w:r w:rsidRPr="0056217A">
        <w:rPr>
          <w:bCs/>
          <w:sz w:val="24"/>
          <w:szCs w:val="18"/>
          <w:lang w:val="es-ES"/>
        </w:rPr>
        <w:t>Líneas</w:t>
      </w:r>
      <w:r w:rsidR="009D20F0" w:rsidRPr="0056217A">
        <w:rPr>
          <w:bCs/>
          <w:sz w:val="24"/>
          <w:szCs w:val="18"/>
          <w:lang w:val="es-ES"/>
        </w:rPr>
        <w:t xml:space="preserve"> de extensión</w:t>
      </w:r>
      <w:r w:rsidRPr="0056217A">
        <w:rPr>
          <w:bCs/>
          <w:sz w:val="24"/>
          <w:szCs w:val="18"/>
          <w:lang w:val="es-ES"/>
        </w:rPr>
        <w:t xml:space="preserve"> prioritarias</w:t>
      </w:r>
      <w:bookmarkEnd w:id="5"/>
    </w:p>
    <w:p w14:paraId="02A3B56E" w14:textId="0F72B85F" w:rsidR="00AF18B9" w:rsidRPr="00AF18B9" w:rsidRDefault="00AF18B9" w:rsidP="003B589F">
      <w:pPr>
        <w:jc w:val="both"/>
        <w:rPr>
          <w:lang w:val="es-ES"/>
        </w:rPr>
      </w:pPr>
      <w:r w:rsidRPr="00AF18B9">
        <w:rPr>
          <w:lang w:val="es-ES"/>
        </w:rPr>
        <w:t xml:space="preserve">Para concentrar los esfuerzos y recursos, la </w:t>
      </w:r>
      <w:r w:rsidR="00251565">
        <w:rPr>
          <w:lang w:val="es-ES"/>
        </w:rPr>
        <w:t>extensión</w:t>
      </w:r>
      <w:r w:rsidRPr="00AF18B9">
        <w:rPr>
          <w:lang w:val="es-ES"/>
        </w:rPr>
        <w:t xml:space="preserve"> en </w:t>
      </w:r>
      <w:r w:rsidR="00C3390A">
        <w:rPr>
          <w:lang w:val="es-ES"/>
        </w:rPr>
        <w:t>Derecho</w:t>
      </w:r>
      <w:r w:rsidR="005745EA">
        <w:rPr>
          <w:lang w:val="es-ES"/>
        </w:rPr>
        <w:t xml:space="preserve"> </w:t>
      </w:r>
      <w:r w:rsidRPr="00AF18B9">
        <w:rPr>
          <w:lang w:val="es-ES"/>
        </w:rPr>
        <w:t>se focalizará en l</w:t>
      </w:r>
      <w:r w:rsidR="00251565">
        <w:rPr>
          <w:lang w:val="es-ES"/>
        </w:rPr>
        <w:t>o</w:t>
      </w:r>
      <w:r w:rsidRPr="00AF18B9">
        <w:rPr>
          <w:lang w:val="es-ES"/>
        </w:rPr>
        <w:t xml:space="preserve">s siguientes </w:t>
      </w:r>
      <w:r w:rsidR="00251565">
        <w:rPr>
          <w:lang w:val="es-ES"/>
        </w:rPr>
        <w:t>ejes o naturaleza</w:t>
      </w:r>
      <w:r w:rsidRPr="00AF18B9">
        <w:rPr>
          <w:lang w:val="es-ES"/>
        </w:rPr>
        <w:t xml:space="preserve">, las cuales sirven de marco para la presentación de proyectos y </w:t>
      </w:r>
      <w:r w:rsidR="00251565">
        <w:rPr>
          <w:lang w:val="es-ES"/>
        </w:rPr>
        <w:t>ejecución de actividades de extensión</w:t>
      </w:r>
      <w:r w:rsidRPr="00AF18B9">
        <w:rPr>
          <w:lang w:val="es-ES"/>
        </w:rPr>
        <w:t>:</w:t>
      </w:r>
    </w:p>
    <w:p w14:paraId="6DDD5C76" w14:textId="6030FE12" w:rsidR="0056217A" w:rsidRPr="00354D43" w:rsidRDefault="00251565" w:rsidP="00354D43">
      <w:pPr>
        <w:pStyle w:val="Ttulo2"/>
        <w:ind w:left="20"/>
        <w:rPr>
          <w:b w:val="0"/>
          <w:bCs/>
          <w:lang w:val="es-ES"/>
        </w:rPr>
      </w:pPr>
      <w:bookmarkStart w:id="6" w:name="_Toc217927949"/>
      <w:r w:rsidRPr="00354D43">
        <w:rPr>
          <w:b w:val="0"/>
          <w:bCs/>
          <w:lang w:val="es-ES"/>
        </w:rPr>
        <w:t>Desarrollo Comunitario</w:t>
      </w:r>
      <w:bookmarkEnd w:id="6"/>
    </w:p>
    <w:p w14:paraId="5EC13D49" w14:textId="48CF9D1B" w:rsidR="0008206B" w:rsidRPr="0008206B" w:rsidRDefault="002470E2" w:rsidP="0008206B">
      <w:pPr>
        <w:jc w:val="both"/>
        <w:rPr>
          <w:lang w:val="es-ES"/>
        </w:rPr>
      </w:pPr>
      <w:r>
        <w:rPr>
          <w:lang w:val="es-ES"/>
        </w:rPr>
        <w:t>P</w:t>
      </w:r>
      <w:r w:rsidRPr="002470E2">
        <w:rPr>
          <w:lang w:val="es-ES"/>
        </w:rPr>
        <w:t>restaciones de servicios a la comunidad, intervenciones que apuntan a resolver necesidades o problemáticas del medio como: asistencia técnica, ayuda a comunidades vulnerables (niños, indígenas, ancianos), consultoría, asesoría, servicios profesionales</w:t>
      </w:r>
      <w:r w:rsidR="00AB06D0" w:rsidRPr="00AB06D0">
        <w:rPr>
          <w:lang w:val="es-ES"/>
        </w:rPr>
        <w:t xml:space="preserve">. </w:t>
      </w:r>
      <w:r w:rsidR="0008206B" w:rsidRPr="0008206B">
        <w:rPr>
          <w:lang w:val="es-ES"/>
        </w:rPr>
        <w:t xml:space="preserve"> </w:t>
      </w:r>
    </w:p>
    <w:p w14:paraId="276685D1" w14:textId="164B3872" w:rsidR="0056217A" w:rsidRPr="00354D43" w:rsidRDefault="00251565" w:rsidP="00354D43">
      <w:pPr>
        <w:pStyle w:val="Ttulo2"/>
        <w:ind w:left="20"/>
        <w:rPr>
          <w:b w:val="0"/>
          <w:bCs/>
          <w:lang w:val="es-ES"/>
        </w:rPr>
      </w:pPr>
      <w:bookmarkStart w:id="7" w:name="_Toc217927950"/>
      <w:r w:rsidRPr="00354D43">
        <w:rPr>
          <w:b w:val="0"/>
          <w:bCs/>
          <w:lang w:val="es-ES"/>
        </w:rPr>
        <w:t>Capacitación</w:t>
      </w:r>
      <w:bookmarkEnd w:id="7"/>
    </w:p>
    <w:p w14:paraId="673D6F9B" w14:textId="5A3951C3" w:rsidR="00AB06D0" w:rsidRPr="00AB06D0" w:rsidRDefault="0056217A" w:rsidP="00AB06D0">
      <w:pPr>
        <w:jc w:val="both"/>
        <w:rPr>
          <w:lang w:val="es-ES"/>
        </w:rPr>
      </w:pPr>
      <w:r w:rsidRPr="00AB06D0">
        <w:rPr>
          <w:lang w:val="es-ES"/>
        </w:rPr>
        <w:t>I</w:t>
      </w:r>
      <w:r w:rsidR="00251565" w:rsidRPr="00AB06D0">
        <w:rPr>
          <w:lang w:val="es-ES"/>
        </w:rPr>
        <w:t xml:space="preserve">ncluye </w:t>
      </w:r>
      <w:r w:rsidR="002470E2" w:rsidRPr="002470E2">
        <w:rPr>
          <w:lang w:val="es-ES"/>
        </w:rPr>
        <w:t>actividades de transferencia de conocimientos que se dirigen a solucionar una necesidad de formación en el medio o en la Facultad. Cursos extracurriculares (programas de capacitación comunitaria, charlas educativas de interés social, económica, cultural y política de gestión administrativa), seminarios, foros, charlas, congresos, conferencias, paneles, simposios</w:t>
      </w:r>
      <w:r w:rsidR="00AB06D0" w:rsidRPr="00AB06D0">
        <w:rPr>
          <w:lang w:val="es-ES"/>
        </w:rPr>
        <w:t xml:space="preserve">. </w:t>
      </w:r>
    </w:p>
    <w:p w14:paraId="4C0EB8BA" w14:textId="024A2A20" w:rsidR="0056217A" w:rsidRPr="00354D43" w:rsidRDefault="00251565" w:rsidP="00354D43">
      <w:pPr>
        <w:pStyle w:val="Ttulo2"/>
        <w:ind w:left="20"/>
        <w:rPr>
          <w:b w:val="0"/>
          <w:bCs/>
          <w:lang w:val="es-ES"/>
        </w:rPr>
      </w:pPr>
      <w:bookmarkStart w:id="8" w:name="_Toc217927951"/>
      <w:r w:rsidRPr="00354D43">
        <w:rPr>
          <w:b w:val="0"/>
          <w:bCs/>
          <w:lang w:val="es-ES"/>
        </w:rPr>
        <w:t>Difusión</w:t>
      </w:r>
      <w:bookmarkEnd w:id="8"/>
    </w:p>
    <w:p w14:paraId="3D490CAF" w14:textId="76342853" w:rsidR="00251565" w:rsidRPr="00251565" w:rsidRDefault="0056217A" w:rsidP="003B589F">
      <w:pPr>
        <w:jc w:val="both"/>
        <w:rPr>
          <w:lang w:val="es-ES"/>
        </w:rPr>
      </w:pPr>
      <w:r>
        <w:rPr>
          <w:lang w:val="es-ES"/>
        </w:rPr>
        <w:t>D</w:t>
      </w:r>
      <w:r w:rsidR="00251565" w:rsidRPr="00251565">
        <w:rPr>
          <w:lang w:val="es-ES"/>
        </w:rPr>
        <w:t xml:space="preserve">ivulgación </w:t>
      </w:r>
      <w:r w:rsidR="002470E2" w:rsidRPr="002470E2">
        <w:rPr>
          <w:lang w:val="es-ES"/>
        </w:rPr>
        <w:t>de temáticas de relevancia de la Universidad, publicaciones, transmisiones electrónicas (radio, Tv), revistas universitarias impresas, digitales, participación en actividades de investigación científica</w:t>
      </w:r>
      <w:r w:rsidR="00FE3CB2">
        <w:rPr>
          <w:lang w:val="es-ES"/>
        </w:rPr>
        <w:t>.</w:t>
      </w:r>
    </w:p>
    <w:p w14:paraId="7122E455" w14:textId="77777777" w:rsidR="001D0008" w:rsidRPr="00354D43" w:rsidRDefault="00251565" w:rsidP="00354D43">
      <w:pPr>
        <w:pStyle w:val="Ttulo2"/>
        <w:ind w:left="20"/>
        <w:rPr>
          <w:b w:val="0"/>
          <w:bCs/>
          <w:lang w:val="es-ES"/>
        </w:rPr>
      </w:pPr>
      <w:bookmarkStart w:id="9" w:name="_Toc217927952"/>
      <w:r w:rsidRPr="00354D43">
        <w:rPr>
          <w:b w:val="0"/>
          <w:bCs/>
          <w:lang w:val="es-ES"/>
        </w:rPr>
        <w:lastRenderedPageBreak/>
        <w:t>Actividad cultural</w:t>
      </w:r>
      <w:bookmarkEnd w:id="9"/>
    </w:p>
    <w:p w14:paraId="36787B67" w14:textId="15A42CFB" w:rsidR="00251565" w:rsidRPr="00251565" w:rsidRDefault="00FE7350" w:rsidP="003B589F">
      <w:pPr>
        <w:jc w:val="both"/>
        <w:rPr>
          <w:lang w:val="es-ES"/>
        </w:rPr>
      </w:pPr>
      <w:r>
        <w:rPr>
          <w:lang w:val="es-ES"/>
        </w:rPr>
        <w:t>A</w:t>
      </w:r>
      <w:r w:rsidRPr="00FE7350">
        <w:rPr>
          <w:lang w:val="es-ES"/>
        </w:rPr>
        <w:t xml:space="preserve">cciones culturales y/o artísticas que promuevan el rescate, preservación y promoción de la cultura paraguaya y su vinculación con otras culturas y prácticas </w:t>
      </w:r>
      <w:r w:rsidR="00C3390A">
        <w:rPr>
          <w:lang w:val="es-ES"/>
        </w:rPr>
        <w:t>legales vigentes</w:t>
      </w:r>
      <w:r w:rsidR="00251565" w:rsidRPr="00251565">
        <w:rPr>
          <w:lang w:val="es-ES"/>
        </w:rPr>
        <w:t>.</w:t>
      </w:r>
    </w:p>
    <w:p w14:paraId="52900A24" w14:textId="77777777" w:rsidR="001D0008" w:rsidRPr="00354D43" w:rsidRDefault="00251565" w:rsidP="00354D43">
      <w:pPr>
        <w:pStyle w:val="Ttulo2"/>
        <w:ind w:left="20"/>
        <w:rPr>
          <w:b w:val="0"/>
          <w:bCs/>
          <w:lang w:val="es-ES"/>
        </w:rPr>
      </w:pPr>
      <w:bookmarkStart w:id="10" w:name="_Toc217927953"/>
      <w:r w:rsidRPr="00354D43">
        <w:rPr>
          <w:b w:val="0"/>
          <w:bCs/>
          <w:lang w:val="es-ES"/>
        </w:rPr>
        <w:t>Voluntariado</w:t>
      </w:r>
      <w:bookmarkEnd w:id="10"/>
    </w:p>
    <w:p w14:paraId="173EBCDC" w14:textId="162CC166" w:rsidR="00FE3CB2" w:rsidRPr="00FE3CB2" w:rsidRDefault="001D0008" w:rsidP="00FE3CB2">
      <w:pPr>
        <w:jc w:val="both"/>
        <w:rPr>
          <w:lang w:val="es-ES"/>
        </w:rPr>
      </w:pPr>
      <w:r>
        <w:rPr>
          <w:lang w:val="es-ES"/>
        </w:rPr>
        <w:t>A</w:t>
      </w:r>
      <w:r w:rsidR="00251565" w:rsidRPr="00251565">
        <w:rPr>
          <w:lang w:val="es-ES"/>
        </w:rPr>
        <w:t xml:space="preserve">ctividades </w:t>
      </w:r>
      <w:r w:rsidR="00FE7350" w:rsidRPr="00FE7350">
        <w:rPr>
          <w:lang w:val="es-ES"/>
        </w:rPr>
        <w:t>de apoyo a iniciativas institucionales externas a la Universidad. Servicio voluntario en respuesta a solicitudes de entidades gubernamentales y no gubernamentales</w:t>
      </w:r>
      <w:r w:rsidR="00FE3CB2" w:rsidRPr="00FE3CB2">
        <w:rPr>
          <w:lang w:val="es-ES"/>
        </w:rPr>
        <w:t>.</w:t>
      </w:r>
    </w:p>
    <w:p w14:paraId="70ECD537" w14:textId="0B13F22F" w:rsidR="00AF18B9" w:rsidRPr="0056217A" w:rsidRDefault="00AF18B9" w:rsidP="00FE3CB2">
      <w:pPr>
        <w:pStyle w:val="Ttulo1"/>
        <w:rPr>
          <w:bCs/>
          <w:sz w:val="24"/>
          <w:szCs w:val="18"/>
          <w:lang w:val="es-ES"/>
        </w:rPr>
      </w:pPr>
      <w:bookmarkStart w:id="11" w:name="_Toc217927954"/>
      <w:r w:rsidRPr="0056217A">
        <w:rPr>
          <w:bCs/>
          <w:sz w:val="24"/>
          <w:szCs w:val="18"/>
          <w:lang w:val="es-ES"/>
        </w:rPr>
        <w:t xml:space="preserve">Estructura de Gestión de la </w:t>
      </w:r>
      <w:r w:rsidR="004B4060" w:rsidRPr="0056217A">
        <w:rPr>
          <w:bCs/>
          <w:sz w:val="24"/>
          <w:szCs w:val="18"/>
          <w:lang w:val="es-ES"/>
        </w:rPr>
        <w:t>Extensión</w:t>
      </w:r>
      <w:bookmarkEnd w:id="11"/>
      <w:r w:rsidR="004B4060" w:rsidRPr="0056217A">
        <w:rPr>
          <w:bCs/>
          <w:sz w:val="24"/>
          <w:szCs w:val="18"/>
          <w:lang w:val="es-ES"/>
        </w:rPr>
        <w:t xml:space="preserve"> </w:t>
      </w:r>
    </w:p>
    <w:p w14:paraId="48BC840F" w14:textId="4C29EAA0" w:rsidR="00AF18B9" w:rsidRPr="00AF18B9" w:rsidRDefault="00AF18B9" w:rsidP="003B589F">
      <w:pPr>
        <w:jc w:val="both"/>
        <w:rPr>
          <w:lang w:val="es-ES"/>
        </w:rPr>
      </w:pPr>
      <w:r w:rsidRPr="00AF18B9">
        <w:rPr>
          <w:lang w:val="es-ES"/>
        </w:rPr>
        <w:t xml:space="preserve">La gestión de </w:t>
      </w:r>
      <w:r w:rsidR="00251565">
        <w:rPr>
          <w:lang w:val="es-ES"/>
        </w:rPr>
        <w:t>extensión universitaria</w:t>
      </w:r>
      <w:r w:rsidRPr="00AF18B9">
        <w:rPr>
          <w:lang w:val="es-ES"/>
        </w:rPr>
        <w:t xml:space="preserve"> está a cargo de:</w:t>
      </w:r>
    </w:p>
    <w:p w14:paraId="7DF298FA" w14:textId="77777777" w:rsidR="00354D43" w:rsidRDefault="00251565" w:rsidP="00354D43">
      <w:pPr>
        <w:pStyle w:val="Ttulo2"/>
        <w:ind w:left="20"/>
        <w:rPr>
          <w:b w:val="0"/>
          <w:bCs/>
          <w:lang w:val="es-ES"/>
        </w:rPr>
      </w:pPr>
      <w:bookmarkStart w:id="12" w:name="_Toc217927955"/>
      <w:r w:rsidRPr="00354D43">
        <w:rPr>
          <w:b w:val="0"/>
          <w:bCs/>
          <w:lang w:val="es-ES"/>
        </w:rPr>
        <w:t>Departamento de Extensión</w:t>
      </w:r>
      <w:bookmarkEnd w:id="12"/>
    </w:p>
    <w:p w14:paraId="03230EA4" w14:textId="61595882" w:rsidR="00AF18B9" w:rsidRPr="00AF18B9" w:rsidRDefault="00354D43" w:rsidP="00354D43">
      <w:pPr>
        <w:jc w:val="both"/>
        <w:rPr>
          <w:lang w:val="es-ES"/>
        </w:rPr>
      </w:pPr>
      <w:r>
        <w:rPr>
          <w:lang w:val="es-ES"/>
        </w:rPr>
        <w:t>R</w:t>
      </w:r>
      <w:r w:rsidR="00AF18B9" w:rsidRPr="00AF18B9">
        <w:rPr>
          <w:lang w:val="es-ES"/>
        </w:rPr>
        <w:t>esponsable de la planificación estratégica, el seguimiento administrativo y la promoción de la</w:t>
      </w:r>
      <w:r w:rsidR="00251565">
        <w:rPr>
          <w:lang w:val="es-ES"/>
        </w:rPr>
        <w:t>s actividades de exten</w:t>
      </w:r>
      <w:r w:rsidR="00D00188">
        <w:rPr>
          <w:lang w:val="es-ES"/>
        </w:rPr>
        <w:t>s</w:t>
      </w:r>
      <w:r w:rsidR="00251565">
        <w:rPr>
          <w:lang w:val="es-ES"/>
        </w:rPr>
        <w:t>ión</w:t>
      </w:r>
      <w:r w:rsidR="00AF18B9" w:rsidRPr="00AF18B9">
        <w:rPr>
          <w:lang w:val="es-ES"/>
        </w:rPr>
        <w:t>.</w:t>
      </w:r>
    </w:p>
    <w:p w14:paraId="4F7BF77E" w14:textId="3BDE7812" w:rsidR="00354D43" w:rsidRDefault="00AF18B9" w:rsidP="00354D43">
      <w:pPr>
        <w:pStyle w:val="Ttulo2"/>
        <w:ind w:left="20"/>
        <w:rPr>
          <w:b w:val="0"/>
          <w:bCs/>
          <w:lang w:val="es-ES"/>
        </w:rPr>
      </w:pPr>
      <w:bookmarkStart w:id="13" w:name="_Toc217927956"/>
      <w:r w:rsidRPr="00354D43">
        <w:rPr>
          <w:b w:val="0"/>
          <w:bCs/>
          <w:lang w:val="es-ES"/>
        </w:rPr>
        <w:t xml:space="preserve">Condiciones y </w:t>
      </w:r>
      <w:r w:rsidR="00354D43">
        <w:rPr>
          <w:b w:val="0"/>
          <w:bCs/>
          <w:lang w:val="es-ES"/>
        </w:rPr>
        <w:t>p</w:t>
      </w:r>
      <w:r w:rsidRPr="00354D43">
        <w:rPr>
          <w:b w:val="0"/>
          <w:bCs/>
          <w:lang w:val="es-ES"/>
        </w:rPr>
        <w:t xml:space="preserve">rocedimientos para el </w:t>
      </w:r>
      <w:r w:rsidR="00354D43">
        <w:rPr>
          <w:b w:val="0"/>
          <w:bCs/>
          <w:lang w:val="es-ES"/>
        </w:rPr>
        <w:t>o</w:t>
      </w:r>
      <w:r w:rsidRPr="00354D43">
        <w:rPr>
          <w:b w:val="0"/>
          <w:bCs/>
          <w:lang w:val="es-ES"/>
        </w:rPr>
        <w:t xml:space="preserve">torgamiento de </w:t>
      </w:r>
      <w:r w:rsidR="00354D43">
        <w:rPr>
          <w:b w:val="0"/>
          <w:bCs/>
          <w:lang w:val="es-ES"/>
        </w:rPr>
        <w:t>r</w:t>
      </w:r>
      <w:r w:rsidRPr="00354D43">
        <w:rPr>
          <w:b w:val="0"/>
          <w:bCs/>
          <w:lang w:val="es-ES"/>
        </w:rPr>
        <w:t xml:space="preserve">ecursos </w:t>
      </w:r>
      <w:r w:rsidR="00354D43">
        <w:rPr>
          <w:b w:val="0"/>
          <w:bCs/>
          <w:lang w:val="es-ES"/>
        </w:rPr>
        <w:t>f</w:t>
      </w:r>
      <w:r w:rsidRPr="00354D43">
        <w:rPr>
          <w:b w:val="0"/>
          <w:bCs/>
          <w:lang w:val="es-ES"/>
        </w:rPr>
        <w:t>inancieros</w:t>
      </w:r>
      <w:bookmarkEnd w:id="13"/>
      <w:r w:rsidRPr="00354D43">
        <w:rPr>
          <w:b w:val="0"/>
          <w:bCs/>
          <w:lang w:val="es-ES"/>
        </w:rPr>
        <w:t xml:space="preserve"> </w:t>
      </w:r>
    </w:p>
    <w:p w14:paraId="6F9A08B2" w14:textId="428B7B36" w:rsidR="00AF18B9" w:rsidRPr="00354D43" w:rsidRDefault="00354D43" w:rsidP="00354D43">
      <w:pPr>
        <w:jc w:val="both"/>
        <w:rPr>
          <w:lang w:val="es-ES"/>
        </w:rPr>
      </w:pPr>
      <w:r>
        <w:rPr>
          <w:lang w:val="es-ES"/>
        </w:rPr>
        <w:t>L</w:t>
      </w:r>
      <w:r w:rsidR="00AF18B9" w:rsidRPr="00354D43">
        <w:rPr>
          <w:lang w:val="es-ES"/>
        </w:rPr>
        <w:t>a Universidad Nihon Gakko garantiza el soporte económico para el desarrollo de la</w:t>
      </w:r>
      <w:r w:rsidR="00D00188" w:rsidRPr="00354D43">
        <w:rPr>
          <w:lang w:val="es-ES"/>
        </w:rPr>
        <w:t>s actividades</w:t>
      </w:r>
      <w:r w:rsidR="00AF18B9" w:rsidRPr="00354D43">
        <w:rPr>
          <w:lang w:val="es-ES"/>
        </w:rPr>
        <w:t xml:space="preserve"> a través de la asignación específica de fondos dentro de su Presupuesto Institucional Anual.</w:t>
      </w:r>
    </w:p>
    <w:p w14:paraId="034C8B0E" w14:textId="7898EA1B" w:rsidR="00AF18B9" w:rsidRPr="00AF18B9" w:rsidRDefault="00AF18B9" w:rsidP="003B589F">
      <w:pPr>
        <w:jc w:val="both"/>
        <w:rPr>
          <w:lang w:val="es-ES"/>
        </w:rPr>
      </w:pPr>
      <w:r w:rsidRPr="00AF18B9">
        <w:rPr>
          <w:lang w:val="es-ES"/>
        </w:rPr>
        <w:t xml:space="preserve">El otorgamiento de estos recursos financieros destinados a la </w:t>
      </w:r>
      <w:r w:rsidR="00D00188">
        <w:rPr>
          <w:lang w:val="es-ES"/>
        </w:rPr>
        <w:t>extensión</w:t>
      </w:r>
      <w:r w:rsidRPr="00AF18B9">
        <w:rPr>
          <w:lang w:val="es-ES"/>
        </w:rPr>
        <w:t xml:space="preserve"> (financiación de proyectos, apoyo a publicaciones, asistencia </w:t>
      </w:r>
      <w:r w:rsidR="00D00188">
        <w:rPr>
          <w:lang w:val="es-ES"/>
        </w:rPr>
        <w:t>social</w:t>
      </w:r>
      <w:r w:rsidRPr="00AF18B9">
        <w:rPr>
          <w:lang w:val="es-ES"/>
        </w:rPr>
        <w:t>) se regirá por las siguientes condiciones y procedimientos, asegurando la transparencia y la calidad de los proyectos</w:t>
      </w:r>
      <w:r w:rsidR="00D00188">
        <w:rPr>
          <w:lang w:val="es-ES"/>
        </w:rPr>
        <w:t>:</w:t>
      </w:r>
    </w:p>
    <w:p w14:paraId="2A7F4B43" w14:textId="70C8A2AA" w:rsidR="00AF18B9" w:rsidRPr="00354D43" w:rsidRDefault="00AF18B9" w:rsidP="00354D43">
      <w:pPr>
        <w:pStyle w:val="Ttulo1"/>
        <w:rPr>
          <w:bCs/>
          <w:sz w:val="24"/>
          <w:szCs w:val="18"/>
          <w:lang w:val="es-ES"/>
        </w:rPr>
      </w:pPr>
      <w:bookmarkStart w:id="14" w:name="_Toc217927957"/>
      <w:r w:rsidRPr="00354D43">
        <w:rPr>
          <w:bCs/>
          <w:sz w:val="24"/>
          <w:szCs w:val="18"/>
          <w:lang w:val="es-ES"/>
        </w:rPr>
        <w:t xml:space="preserve">Condiciones de </w:t>
      </w:r>
      <w:r w:rsidR="003B589F" w:rsidRPr="00354D43">
        <w:rPr>
          <w:bCs/>
          <w:sz w:val="24"/>
          <w:szCs w:val="18"/>
          <w:lang w:val="es-ES"/>
        </w:rPr>
        <w:t>e</w:t>
      </w:r>
      <w:r w:rsidRPr="00354D43">
        <w:rPr>
          <w:bCs/>
          <w:sz w:val="24"/>
          <w:szCs w:val="18"/>
          <w:lang w:val="es-ES"/>
        </w:rPr>
        <w:t xml:space="preserve">legibilidad y </w:t>
      </w:r>
      <w:r w:rsidR="003B589F" w:rsidRPr="00354D43">
        <w:rPr>
          <w:bCs/>
          <w:sz w:val="24"/>
          <w:szCs w:val="18"/>
          <w:lang w:val="es-ES"/>
        </w:rPr>
        <w:t>c</w:t>
      </w:r>
      <w:r w:rsidRPr="00354D43">
        <w:rPr>
          <w:bCs/>
          <w:sz w:val="24"/>
          <w:szCs w:val="18"/>
          <w:lang w:val="es-ES"/>
        </w:rPr>
        <w:t xml:space="preserve">riterios de </w:t>
      </w:r>
      <w:r w:rsidR="003B589F" w:rsidRPr="00354D43">
        <w:rPr>
          <w:bCs/>
          <w:sz w:val="24"/>
          <w:szCs w:val="18"/>
          <w:lang w:val="es-ES"/>
        </w:rPr>
        <w:t>a</w:t>
      </w:r>
      <w:r w:rsidRPr="00354D43">
        <w:rPr>
          <w:bCs/>
          <w:sz w:val="24"/>
          <w:szCs w:val="18"/>
          <w:lang w:val="es-ES"/>
        </w:rPr>
        <w:t>signación</w:t>
      </w:r>
      <w:bookmarkEnd w:id="14"/>
    </w:p>
    <w:p w14:paraId="34C22A0D" w14:textId="1B59E5FA" w:rsidR="00354D43" w:rsidRPr="00354D43" w:rsidRDefault="00AF18B9" w:rsidP="00354D43">
      <w:pPr>
        <w:pStyle w:val="Ttulo2"/>
        <w:ind w:left="20"/>
        <w:rPr>
          <w:b w:val="0"/>
          <w:bCs/>
          <w:lang w:val="es-ES"/>
        </w:rPr>
      </w:pPr>
      <w:bookmarkStart w:id="15" w:name="_Toc217927958"/>
      <w:r w:rsidRPr="00354D43">
        <w:rPr>
          <w:b w:val="0"/>
          <w:bCs/>
          <w:lang w:val="es-ES"/>
        </w:rPr>
        <w:t>Alineación Estratégica</w:t>
      </w:r>
      <w:bookmarkEnd w:id="15"/>
    </w:p>
    <w:p w14:paraId="70772580" w14:textId="5C1535EA" w:rsidR="00AF18B9" w:rsidRPr="00AF18B9" w:rsidRDefault="00AF18B9" w:rsidP="00354D43">
      <w:pPr>
        <w:jc w:val="both"/>
        <w:rPr>
          <w:lang w:val="es-ES"/>
        </w:rPr>
      </w:pPr>
      <w:r w:rsidRPr="00AF18B9">
        <w:rPr>
          <w:lang w:val="es-ES"/>
        </w:rPr>
        <w:t>El proyecto deberá estar estrictamente enmarcado dentro de l</w:t>
      </w:r>
      <w:r w:rsidR="00D00188">
        <w:rPr>
          <w:lang w:val="es-ES"/>
        </w:rPr>
        <w:t xml:space="preserve">os ejes o naturaleza </w:t>
      </w:r>
      <w:r w:rsidRPr="00AF18B9">
        <w:rPr>
          <w:lang w:val="es-ES"/>
        </w:rPr>
        <w:t xml:space="preserve">vigentes de la carrera y ser aprobado por </w:t>
      </w:r>
      <w:r w:rsidR="00D00188">
        <w:rPr>
          <w:lang w:val="es-ES"/>
        </w:rPr>
        <w:t>el Departamento de Extensión</w:t>
      </w:r>
      <w:r w:rsidRPr="00AF18B9">
        <w:rPr>
          <w:lang w:val="es-ES"/>
        </w:rPr>
        <w:t>.</w:t>
      </w:r>
    </w:p>
    <w:p w14:paraId="32B65F91" w14:textId="5F2D5173" w:rsidR="00354D43" w:rsidRPr="00354D43" w:rsidRDefault="00AF18B9" w:rsidP="00354D43">
      <w:pPr>
        <w:pStyle w:val="Ttulo2"/>
        <w:ind w:left="20"/>
        <w:rPr>
          <w:b w:val="0"/>
          <w:bCs/>
          <w:lang w:val="es-ES"/>
        </w:rPr>
      </w:pPr>
      <w:bookmarkStart w:id="16" w:name="_Toc217927959"/>
      <w:r w:rsidRPr="00354D43">
        <w:rPr>
          <w:b w:val="0"/>
          <w:bCs/>
          <w:lang w:val="es-ES"/>
        </w:rPr>
        <w:t xml:space="preserve">Vinculación </w:t>
      </w:r>
      <w:r w:rsidR="00354D43">
        <w:rPr>
          <w:b w:val="0"/>
          <w:bCs/>
          <w:lang w:val="es-ES"/>
        </w:rPr>
        <w:t>i</w:t>
      </w:r>
      <w:r w:rsidRPr="00354D43">
        <w:rPr>
          <w:b w:val="0"/>
          <w:bCs/>
          <w:lang w:val="es-ES"/>
        </w:rPr>
        <w:t>nstitucional</w:t>
      </w:r>
      <w:bookmarkEnd w:id="16"/>
    </w:p>
    <w:p w14:paraId="1BA36CE7" w14:textId="60932432" w:rsidR="00AF18B9" w:rsidRPr="00354D43" w:rsidRDefault="00354D43" w:rsidP="00354D43">
      <w:pPr>
        <w:jc w:val="both"/>
        <w:rPr>
          <w:lang w:val="es-ES"/>
        </w:rPr>
      </w:pPr>
      <w:r w:rsidRPr="00354D43">
        <w:rPr>
          <w:lang w:val="es-ES"/>
        </w:rPr>
        <w:t>L</w:t>
      </w:r>
      <w:r w:rsidR="00D57BAC" w:rsidRPr="00354D43">
        <w:rPr>
          <w:lang w:val="es-ES"/>
        </w:rPr>
        <w:t xml:space="preserve">as actividades </w:t>
      </w:r>
      <w:bookmarkStart w:id="17" w:name="_Hlk217925757"/>
      <w:r w:rsidR="00D57BAC" w:rsidRPr="00354D43">
        <w:rPr>
          <w:lang w:val="es-ES"/>
        </w:rPr>
        <w:t xml:space="preserve">de extensión deben ser lideradas por </w:t>
      </w:r>
      <w:r w:rsidR="00AF18B9" w:rsidRPr="00354D43">
        <w:rPr>
          <w:lang w:val="es-ES"/>
        </w:rPr>
        <w:t>docentes</w:t>
      </w:r>
      <w:r w:rsidR="00D57BAC" w:rsidRPr="00354D43">
        <w:rPr>
          <w:lang w:val="es-ES"/>
        </w:rPr>
        <w:t xml:space="preserve"> y/o </w:t>
      </w:r>
      <w:r w:rsidR="00AF18B9" w:rsidRPr="00354D43">
        <w:rPr>
          <w:lang w:val="es-ES"/>
        </w:rPr>
        <w:t>estudiantes activos de la Universidad Nihon Gakko</w:t>
      </w:r>
      <w:r w:rsidR="00D57BAC" w:rsidRPr="00354D43">
        <w:rPr>
          <w:lang w:val="es-ES"/>
        </w:rPr>
        <w:t>, a fin de responder a necesidades internas o externas</w:t>
      </w:r>
      <w:r w:rsidR="00AF18B9" w:rsidRPr="00354D43">
        <w:rPr>
          <w:lang w:val="es-ES"/>
        </w:rPr>
        <w:t>.</w:t>
      </w:r>
      <w:r w:rsidR="0008206B">
        <w:rPr>
          <w:lang w:val="es-ES"/>
        </w:rPr>
        <w:t xml:space="preserve"> Podrán participar los estudiantes de </w:t>
      </w:r>
      <w:r w:rsidR="00D854B8">
        <w:rPr>
          <w:lang w:val="es-ES"/>
        </w:rPr>
        <w:t>actividades</w:t>
      </w:r>
      <w:r w:rsidR="0008206B">
        <w:rPr>
          <w:lang w:val="es-ES"/>
        </w:rPr>
        <w:t xml:space="preserve"> de extensión a invitación de otras universidades, municipalidades, gobernaciones y gobierno central</w:t>
      </w:r>
      <w:r w:rsidR="00D854B8">
        <w:rPr>
          <w:lang w:val="es-ES"/>
        </w:rPr>
        <w:t>, previa aprobación del Departamento de Extensión y Dirección Académica</w:t>
      </w:r>
      <w:r w:rsidR="0008206B">
        <w:rPr>
          <w:lang w:val="es-ES"/>
        </w:rPr>
        <w:t xml:space="preserve"> </w:t>
      </w:r>
      <w:bookmarkEnd w:id="17"/>
    </w:p>
    <w:p w14:paraId="0A6FB889" w14:textId="1474D0F7" w:rsidR="00354D43" w:rsidRPr="00354D43" w:rsidRDefault="00AF18B9" w:rsidP="00354D43">
      <w:pPr>
        <w:pStyle w:val="Ttulo2"/>
        <w:ind w:left="20"/>
        <w:rPr>
          <w:b w:val="0"/>
          <w:bCs/>
          <w:lang w:val="es-ES"/>
        </w:rPr>
      </w:pPr>
      <w:bookmarkStart w:id="18" w:name="_Toc217927960"/>
      <w:r w:rsidRPr="00354D43">
        <w:rPr>
          <w:b w:val="0"/>
          <w:bCs/>
          <w:lang w:val="es-ES"/>
        </w:rPr>
        <w:t xml:space="preserve">Presupuesto </w:t>
      </w:r>
      <w:r w:rsidR="00354D43">
        <w:rPr>
          <w:b w:val="0"/>
          <w:bCs/>
          <w:lang w:val="es-ES"/>
        </w:rPr>
        <w:t>d</w:t>
      </w:r>
      <w:r w:rsidR="00354D43" w:rsidRPr="00354D43">
        <w:rPr>
          <w:b w:val="0"/>
          <w:bCs/>
          <w:lang w:val="es-ES"/>
        </w:rPr>
        <w:t>etallado</w:t>
      </w:r>
      <w:bookmarkEnd w:id="18"/>
    </w:p>
    <w:p w14:paraId="67958E37" w14:textId="06B7FFBA" w:rsidR="00AF18B9" w:rsidRPr="00AF18B9" w:rsidRDefault="00AF18B9" w:rsidP="00354D43">
      <w:pPr>
        <w:jc w:val="both"/>
        <w:rPr>
          <w:lang w:val="es-ES"/>
        </w:rPr>
      </w:pPr>
      <w:r w:rsidRPr="00AF18B9">
        <w:rPr>
          <w:lang w:val="es-ES"/>
        </w:rPr>
        <w:t xml:space="preserve">La solicitud de financiación debe ir acompañada de un plan financiero detallado que justifique el uso de los fondos solicitados (ej. materiales, equipamiento, servicios especializados, </w:t>
      </w:r>
      <w:r w:rsidR="00D57BAC">
        <w:rPr>
          <w:lang w:val="es-ES"/>
        </w:rPr>
        <w:t>insumos para donaciones, etc.</w:t>
      </w:r>
      <w:r w:rsidRPr="00AF18B9">
        <w:rPr>
          <w:lang w:val="es-ES"/>
        </w:rPr>
        <w:t>).</w:t>
      </w:r>
    </w:p>
    <w:p w14:paraId="6F7DCBF0" w14:textId="4686811A" w:rsidR="00AF18B9" w:rsidRPr="00354D43" w:rsidRDefault="00AF18B9" w:rsidP="00354D43">
      <w:pPr>
        <w:pStyle w:val="Ttulo1"/>
        <w:rPr>
          <w:bCs/>
          <w:sz w:val="24"/>
          <w:szCs w:val="18"/>
          <w:lang w:val="es-ES"/>
        </w:rPr>
      </w:pPr>
      <w:bookmarkStart w:id="19" w:name="_Toc217927961"/>
      <w:r w:rsidRPr="00354D43">
        <w:rPr>
          <w:bCs/>
          <w:sz w:val="24"/>
          <w:szCs w:val="18"/>
          <w:lang w:val="es-ES"/>
        </w:rPr>
        <w:t xml:space="preserve">Procedimiento para la </w:t>
      </w:r>
      <w:r w:rsidR="00B027BC">
        <w:rPr>
          <w:bCs/>
          <w:sz w:val="24"/>
          <w:szCs w:val="18"/>
          <w:lang w:val="es-ES"/>
        </w:rPr>
        <w:t>a</w:t>
      </w:r>
      <w:r w:rsidRPr="00354D43">
        <w:rPr>
          <w:bCs/>
          <w:sz w:val="24"/>
          <w:szCs w:val="18"/>
          <w:lang w:val="es-ES"/>
        </w:rPr>
        <w:t xml:space="preserve">djudicación de </w:t>
      </w:r>
      <w:r w:rsidR="00B027BC">
        <w:rPr>
          <w:bCs/>
          <w:sz w:val="24"/>
          <w:szCs w:val="18"/>
          <w:lang w:val="es-ES"/>
        </w:rPr>
        <w:t>f</w:t>
      </w:r>
      <w:r w:rsidRPr="00354D43">
        <w:rPr>
          <w:bCs/>
          <w:sz w:val="24"/>
          <w:szCs w:val="18"/>
          <w:lang w:val="es-ES"/>
        </w:rPr>
        <w:t>ondos</w:t>
      </w:r>
      <w:bookmarkEnd w:id="19"/>
    </w:p>
    <w:p w14:paraId="31C5D015" w14:textId="77777777" w:rsidR="00354D43" w:rsidRPr="00354D43" w:rsidRDefault="00AF18B9" w:rsidP="00354D43">
      <w:pPr>
        <w:pStyle w:val="Ttulo2"/>
        <w:ind w:left="20"/>
        <w:rPr>
          <w:b w:val="0"/>
          <w:bCs/>
          <w:lang w:val="es-ES"/>
        </w:rPr>
      </w:pPr>
      <w:bookmarkStart w:id="20" w:name="_Toc217927962"/>
      <w:r w:rsidRPr="00354D43">
        <w:rPr>
          <w:b w:val="0"/>
          <w:bCs/>
          <w:lang w:val="es-ES"/>
        </w:rPr>
        <w:t>Presentación Formal</w:t>
      </w:r>
      <w:bookmarkEnd w:id="20"/>
    </w:p>
    <w:p w14:paraId="1D1658CE" w14:textId="0CCC76BF" w:rsidR="00AF18B9" w:rsidRPr="00AF18B9" w:rsidRDefault="00AF18B9" w:rsidP="00354D43">
      <w:pPr>
        <w:jc w:val="both"/>
        <w:rPr>
          <w:lang w:val="es-ES"/>
        </w:rPr>
      </w:pPr>
      <w:r w:rsidRPr="00AF18B9">
        <w:rPr>
          <w:lang w:val="es-ES"/>
        </w:rPr>
        <w:t xml:space="preserve">Las propuestas se presentarán formalmente a </w:t>
      </w:r>
      <w:r w:rsidR="00D57BAC">
        <w:rPr>
          <w:lang w:val="es-ES"/>
        </w:rPr>
        <w:t>Departamento de Extensión</w:t>
      </w:r>
      <w:r w:rsidRPr="00AF18B9">
        <w:rPr>
          <w:lang w:val="es-ES"/>
        </w:rPr>
        <w:t>, acompañadas del Formulario de</w:t>
      </w:r>
      <w:r w:rsidR="00D57BAC">
        <w:rPr>
          <w:lang w:val="es-ES"/>
        </w:rPr>
        <w:t xml:space="preserve">l Proyecto de Extensión </w:t>
      </w:r>
      <w:r w:rsidRPr="00AF18B9">
        <w:rPr>
          <w:lang w:val="es-ES"/>
        </w:rPr>
        <w:t>y el Plan de Trabajo Presupuestado.</w:t>
      </w:r>
    </w:p>
    <w:p w14:paraId="05CA6609" w14:textId="77777777" w:rsidR="00354D43" w:rsidRPr="00354D43" w:rsidRDefault="00AF18B9" w:rsidP="00354D43">
      <w:pPr>
        <w:pStyle w:val="Ttulo2"/>
        <w:ind w:left="20"/>
        <w:rPr>
          <w:b w:val="0"/>
          <w:bCs/>
          <w:lang w:val="es-ES"/>
        </w:rPr>
      </w:pPr>
      <w:bookmarkStart w:id="21" w:name="_Toc217927963"/>
      <w:r w:rsidRPr="00354D43">
        <w:rPr>
          <w:b w:val="0"/>
          <w:bCs/>
          <w:lang w:val="es-ES"/>
        </w:rPr>
        <w:t>Evaluación por</w:t>
      </w:r>
      <w:r w:rsidR="00132F28" w:rsidRPr="00354D43">
        <w:rPr>
          <w:b w:val="0"/>
          <w:bCs/>
          <w:lang w:val="es-ES"/>
        </w:rPr>
        <w:t xml:space="preserve"> parte del Departamento de extensión</w:t>
      </w:r>
      <w:bookmarkEnd w:id="21"/>
    </w:p>
    <w:p w14:paraId="7D59A236" w14:textId="40B917E6" w:rsidR="00AF18B9" w:rsidRPr="00AF18B9" w:rsidRDefault="00AF18B9" w:rsidP="00354D43">
      <w:pPr>
        <w:jc w:val="both"/>
        <w:rPr>
          <w:lang w:val="en-US"/>
        </w:rPr>
      </w:pPr>
      <w:r w:rsidRPr="00AF18B9">
        <w:rPr>
          <w:lang w:val="es-ES"/>
        </w:rPr>
        <w:t>Los proyectos serán evaluados</w:t>
      </w:r>
      <w:r w:rsidR="00132F28">
        <w:rPr>
          <w:lang w:val="es-ES"/>
        </w:rPr>
        <w:t xml:space="preserve"> en su pertinencia. Se dará el visto bueno/aprobación, siempre que el proyecto contemple todos los requerimientos formales establecidos</w:t>
      </w:r>
      <w:r w:rsidRPr="00AF18B9">
        <w:rPr>
          <w:lang w:val="en-US"/>
        </w:rPr>
        <w:t>.</w:t>
      </w:r>
    </w:p>
    <w:p w14:paraId="20F6D7FF" w14:textId="14B6059D" w:rsidR="00354D43" w:rsidRPr="00354D43" w:rsidRDefault="00AF18B9" w:rsidP="00354D43">
      <w:pPr>
        <w:pStyle w:val="Ttulo2"/>
        <w:ind w:left="20"/>
        <w:rPr>
          <w:b w:val="0"/>
          <w:bCs/>
          <w:lang w:val="es-ES"/>
        </w:rPr>
      </w:pPr>
      <w:bookmarkStart w:id="22" w:name="_Toc217927964"/>
      <w:r w:rsidRPr="00354D43">
        <w:rPr>
          <w:b w:val="0"/>
          <w:bCs/>
          <w:lang w:val="es-ES"/>
        </w:rPr>
        <w:lastRenderedPageBreak/>
        <w:t>Adjudicación y Compromiso</w:t>
      </w:r>
      <w:bookmarkEnd w:id="22"/>
    </w:p>
    <w:p w14:paraId="72B0E77A" w14:textId="17D6A7FA" w:rsidR="00AF18B9" w:rsidRPr="00AF18B9" w:rsidRDefault="00AF18B9" w:rsidP="00354D43">
      <w:pPr>
        <w:jc w:val="both"/>
        <w:rPr>
          <w:lang w:val="es-ES"/>
        </w:rPr>
      </w:pPr>
      <w:r w:rsidRPr="00AF18B9">
        <w:rPr>
          <w:lang w:val="es-ES"/>
        </w:rPr>
        <w:t>La máxima autoridad académica o administrativa formalizará la adjudicación</w:t>
      </w:r>
      <w:r w:rsidR="00132F28">
        <w:rPr>
          <w:lang w:val="es-ES"/>
        </w:rPr>
        <w:t xml:space="preserve"> de los recursos. El/los responsable/s de la actividad de extensión asumirán el compromiso de ejecutar la actividad conforme a la planificación.</w:t>
      </w:r>
    </w:p>
    <w:p w14:paraId="37C84F08" w14:textId="77344CE2" w:rsidR="00354D43" w:rsidRPr="00354D43" w:rsidRDefault="00AF18B9" w:rsidP="00354D43">
      <w:pPr>
        <w:pStyle w:val="Ttulo2"/>
        <w:ind w:left="20"/>
        <w:rPr>
          <w:b w:val="0"/>
          <w:bCs/>
          <w:lang w:val="es-ES"/>
        </w:rPr>
      </w:pPr>
      <w:bookmarkStart w:id="23" w:name="_Toc217927965"/>
      <w:r w:rsidRPr="00354D43">
        <w:rPr>
          <w:b w:val="0"/>
          <w:bCs/>
          <w:lang w:val="es-ES"/>
        </w:rPr>
        <w:t>Rendición de Cuentas</w:t>
      </w:r>
      <w:bookmarkEnd w:id="23"/>
    </w:p>
    <w:p w14:paraId="07AD28E3" w14:textId="26020D63" w:rsidR="00AF18B9" w:rsidRPr="00AF18B9" w:rsidRDefault="00AF18B9" w:rsidP="00354D43">
      <w:pPr>
        <w:jc w:val="both"/>
        <w:rPr>
          <w:lang w:val="es-ES"/>
        </w:rPr>
      </w:pPr>
      <w:r w:rsidRPr="00AF18B9">
        <w:rPr>
          <w:lang w:val="es-ES"/>
        </w:rPr>
        <w:t xml:space="preserve">Los fondos serán desembolsados </w:t>
      </w:r>
      <w:r w:rsidR="003B589F">
        <w:rPr>
          <w:lang w:val="es-ES"/>
        </w:rPr>
        <w:t>de acuerdo con el</w:t>
      </w:r>
      <w:r w:rsidR="008D16E4">
        <w:rPr>
          <w:lang w:val="es-ES"/>
        </w:rPr>
        <w:t xml:space="preserve"> cronograma establecido en el proyecto de extensión.</w:t>
      </w:r>
    </w:p>
    <w:p w14:paraId="19063FCB" w14:textId="651C7CEE" w:rsidR="00AF18B9" w:rsidRPr="0056217A" w:rsidRDefault="00AF18B9" w:rsidP="0056217A">
      <w:pPr>
        <w:pStyle w:val="Ttulo1"/>
        <w:rPr>
          <w:bCs/>
          <w:sz w:val="24"/>
          <w:szCs w:val="18"/>
          <w:lang w:val="es-ES"/>
        </w:rPr>
      </w:pPr>
      <w:bookmarkStart w:id="24" w:name="_Toc217927966"/>
      <w:r w:rsidRPr="0056217A">
        <w:rPr>
          <w:bCs/>
          <w:sz w:val="24"/>
          <w:szCs w:val="18"/>
          <w:lang w:val="es-ES"/>
        </w:rPr>
        <w:t xml:space="preserve">Difusión y </w:t>
      </w:r>
      <w:r w:rsidR="00F10707" w:rsidRPr="0056217A">
        <w:rPr>
          <w:bCs/>
          <w:sz w:val="24"/>
          <w:szCs w:val="18"/>
          <w:lang w:val="es-ES"/>
        </w:rPr>
        <w:t xml:space="preserve">publicación de </w:t>
      </w:r>
      <w:r w:rsidR="003B589F" w:rsidRPr="0056217A">
        <w:rPr>
          <w:bCs/>
          <w:sz w:val="24"/>
          <w:szCs w:val="18"/>
          <w:lang w:val="es-ES"/>
        </w:rPr>
        <w:t>las actividades de extensión</w:t>
      </w:r>
      <w:bookmarkEnd w:id="24"/>
    </w:p>
    <w:p w14:paraId="1FCA127C" w14:textId="63252029" w:rsidR="00AF18B9" w:rsidRPr="00AF18B9" w:rsidRDefault="00AF18B9" w:rsidP="003B589F">
      <w:pPr>
        <w:jc w:val="both"/>
        <w:rPr>
          <w:lang w:val="en-US"/>
        </w:rPr>
      </w:pPr>
      <w:r w:rsidRPr="00AF18B9">
        <w:rPr>
          <w:lang w:val="es-ES"/>
        </w:rPr>
        <w:t xml:space="preserve">La Universidad establece la obligatoriedad de difundir </w:t>
      </w:r>
      <w:r w:rsidR="00564164">
        <w:rPr>
          <w:lang w:val="es-ES"/>
        </w:rPr>
        <w:t>las actividades de extensión</w:t>
      </w:r>
      <w:r w:rsidRPr="00AF18B9">
        <w:rPr>
          <w:lang w:val="es-ES"/>
        </w:rPr>
        <w:t xml:space="preserve">, </w:t>
      </w:r>
      <w:r w:rsidR="00564164">
        <w:rPr>
          <w:lang w:val="es-ES"/>
        </w:rPr>
        <w:t>por los canales establecidos por la universidad</w:t>
      </w:r>
      <w:r w:rsidRPr="00AF18B9">
        <w:rPr>
          <w:lang w:val="es-ES"/>
        </w:rPr>
        <w:t xml:space="preserve">. </w:t>
      </w:r>
      <w:r w:rsidRPr="00AF18B9">
        <w:rPr>
          <w:lang w:val="en-US"/>
        </w:rPr>
        <w:t>Los mecanismos incluyen:</w:t>
      </w:r>
    </w:p>
    <w:p w14:paraId="2633DA51" w14:textId="79B59E18" w:rsidR="00AF18B9" w:rsidRPr="00AF18B9" w:rsidRDefault="00AF18B9" w:rsidP="003B589F">
      <w:pPr>
        <w:numPr>
          <w:ilvl w:val="0"/>
          <w:numId w:val="12"/>
        </w:numPr>
        <w:jc w:val="both"/>
        <w:rPr>
          <w:lang w:val="es-ES"/>
        </w:rPr>
      </w:pPr>
      <w:r w:rsidRPr="00AF18B9">
        <w:rPr>
          <w:lang w:val="es-ES"/>
        </w:rPr>
        <w:t xml:space="preserve">Presentación en las </w:t>
      </w:r>
      <w:r w:rsidRPr="00AF18B9">
        <w:rPr>
          <w:b/>
          <w:bCs/>
          <w:lang w:val="es-ES"/>
        </w:rPr>
        <w:t xml:space="preserve">Jornadas de </w:t>
      </w:r>
      <w:r w:rsidR="003B589F">
        <w:rPr>
          <w:b/>
          <w:bCs/>
          <w:lang w:val="es-ES"/>
        </w:rPr>
        <w:t xml:space="preserve">extensión </w:t>
      </w:r>
      <w:r w:rsidR="003B589F">
        <w:rPr>
          <w:lang w:val="es-ES"/>
        </w:rPr>
        <w:t>a nivel institucional, nacional y/o internacional</w:t>
      </w:r>
      <w:r w:rsidRPr="00AF18B9">
        <w:rPr>
          <w:lang w:val="es-ES"/>
        </w:rPr>
        <w:t>.</w:t>
      </w:r>
    </w:p>
    <w:p w14:paraId="2E4B22E7" w14:textId="65ECBB46" w:rsidR="00AF18B9" w:rsidRPr="00AF18B9" w:rsidRDefault="00AF18B9" w:rsidP="003B589F">
      <w:pPr>
        <w:numPr>
          <w:ilvl w:val="0"/>
          <w:numId w:val="12"/>
        </w:numPr>
        <w:jc w:val="both"/>
        <w:rPr>
          <w:lang w:val="es-ES"/>
        </w:rPr>
      </w:pPr>
      <w:r w:rsidRPr="00AF18B9">
        <w:rPr>
          <w:lang w:val="es-ES"/>
        </w:rPr>
        <w:t xml:space="preserve">Publicación en la </w:t>
      </w:r>
      <w:r w:rsidRPr="00AF18B9">
        <w:rPr>
          <w:b/>
          <w:bCs/>
          <w:lang w:val="es-ES"/>
        </w:rPr>
        <w:t>Revista</w:t>
      </w:r>
      <w:r w:rsidR="003B589F">
        <w:rPr>
          <w:b/>
          <w:bCs/>
          <w:lang w:val="es-ES"/>
        </w:rPr>
        <w:t>s</w:t>
      </w:r>
      <w:r w:rsidRPr="00AF18B9">
        <w:rPr>
          <w:b/>
          <w:bCs/>
          <w:lang w:val="es-ES"/>
        </w:rPr>
        <w:t xml:space="preserve"> </w:t>
      </w:r>
      <w:r w:rsidR="003B589F">
        <w:rPr>
          <w:b/>
          <w:bCs/>
          <w:lang w:val="es-ES"/>
        </w:rPr>
        <w:t>c</w:t>
      </w:r>
      <w:r w:rsidRPr="00AF18B9">
        <w:rPr>
          <w:b/>
          <w:bCs/>
          <w:lang w:val="es-ES"/>
        </w:rPr>
        <w:t>ientífica</w:t>
      </w:r>
      <w:r w:rsidR="003B589F">
        <w:rPr>
          <w:b/>
          <w:bCs/>
          <w:lang w:val="es-ES"/>
        </w:rPr>
        <w:t>s, boletines de divulgación</w:t>
      </w:r>
      <w:r w:rsidRPr="00AF18B9">
        <w:rPr>
          <w:b/>
          <w:bCs/>
          <w:lang w:val="es-ES"/>
        </w:rPr>
        <w:t xml:space="preserve"> de la </w:t>
      </w:r>
      <w:r w:rsidR="003B589F">
        <w:rPr>
          <w:b/>
          <w:bCs/>
          <w:lang w:val="es-ES"/>
        </w:rPr>
        <w:t>u</w:t>
      </w:r>
      <w:r w:rsidRPr="00AF18B9">
        <w:rPr>
          <w:b/>
          <w:bCs/>
          <w:lang w:val="es-ES"/>
        </w:rPr>
        <w:t xml:space="preserve">niversidad </w:t>
      </w:r>
      <w:r w:rsidR="003B589F">
        <w:rPr>
          <w:b/>
          <w:bCs/>
          <w:lang w:val="es-ES"/>
        </w:rPr>
        <w:t>u otros espacios académicos</w:t>
      </w:r>
      <w:r w:rsidRPr="00AF18B9">
        <w:rPr>
          <w:lang w:val="es-ES"/>
        </w:rPr>
        <w:t>.</w:t>
      </w:r>
    </w:p>
    <w:p w14:paraId="0D258A86" w14:textId="77777777" w:rsidR="003D15B6" w:rsidRDefault="003D15B6" w:rsidP="003B589F">
      <w:pPr>
        <w:jc w:val="both"/>
      </w:pPr>
    </w:p>
    <w:sectPr w:rsidR="003D15B6" w:rsidSect="00FA25FE">
      <w:footerReference w:type="default" r:id="rId9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BDAC" w14:textId="77777777" w:rsidR="00866566" w:rsidRDefault="00866566" w:rsidP="003B589F">
      <w:pPr>
        <w:spacing w:after="0" w:line="240" w:lineRule="auto"/>
      </w:pPr>
      <w:r>
        <w:separator/>
      </w:r>
    </w:p>
  </w:endnote>
  <w:endnote w:type="continuationSeparator" w:id="0">
    <w:p w14:paraId="4C17D11D" w14:textId="77777777" w:rsidR="00866566" w:rsidRDefault="00866566" w:rsidP="003B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0265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5D3736" w14:textId="46221BB3" w:rsidR="00FA25FE" w:rsidRDefault="00FA25F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972622" w14:textId="77777777" w:rsidR="00FA25FE" w:rsidRDefault="00FA25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FA42" w14:textId="77777777" w:rsidR="00866566" w:rsidRDefault="00866566" w:rsidP="003B589F">
      <w:pPr>
        <w:spacing w:after="0" w:line="240" w:lineRule="auto"/>
      </w:pPr>
      <w:r>
        <w:separator/>
      </w:r>
    </w:p>
  </w:footnote>
  <w:footnote w:type="continuationSeparator" w:id="0">
    <w:p w14:paraId="753F240B" w14:textId="77777777" w:rsidR="00866566" w:rsidRDefault="00866566" w:rsidP="003B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1D9"/>
    <w:multiLevelType w:val="hybridMultilevel"/>
    <w:tmpl w:val="F872C328"/>
    <w:lvl w:ilvl="0" w:tplc="A20636C2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FF753A"/>
    <w:multiLevelType w:val="multilevel"/>
    <w:tmpl w:val="0176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C5B45"/>
    <w:multiLevelType w:val="hybridMultilevel"/>
    <w:tmpl w:val="8110DCE6"/>
    <w:lvl w:ilvl="0" w:tplc="E9BA176C">
      <w:start w:val="1"/>
      <w:numFmt w:val="decimal"/>
      <w:lvlText w:val="%1.1.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A134709"/>
    <w:multiLevelType w:val="multilevel"/>
    <w:tmpl w:val="CB8C5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313F8F"/>
    <w:multiLevelType w:val="hybridMultilevel"/>
    <w:tmpl w:val="938832CA"/>
    <w:lvl w:ilvl="0" w:tplc="C694BBF0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125" w:hanging="360"/>
      </w:pPr>
    </w:lvl>
    <w:lvl w:ilvl="2" w:tplc="3C0A001B" w:tentative="1">
      <w:start w:val="1"/>
      <w:numFmt w:val="lowerRoman"/>
      <w:lvlText w:val="%3."/>
      <w:lvlJc w:val="right"/>
      <w:pPr>
        <w:ind w:left="1845" w:hanging="180"/>
      </w:pPr>
    </w:lvl>
    <w:lvl w:ilvl="3" w:tplc="3C0A000F" w:tentative="1">
      <w:start w:val="1"/>
      <w:numFmt w:val="decimal"/>
      <w:lvlText w:val="%4."/>
      <w:lvlJc w:val="left"/>
      <w:pPr>
        <w:ind w:left="2565" w:hanging="360"/>
      </w:pPr>
    </w:lvl>
    <w:lvl w:ilvl="4" w:tplc="3C0A0019" w:tentative="1">
      <w:start w:val="1"/>
      <w:numFmt w:val="lowerLetter"/>
      <w:lvlText w:val="%5."/>
      <w:lvlJc w:val="left"/>
      <w:pPr>
        <w:ind w:left="3285" w:hanging="360"/>
      </w:pPr>
    </w:lvl>
    <w:lvl w:ilvl="5" w:tplc="3C0A001B" w:tentative="1">
      <w:start w:val="1"/>
      <w:numFmt w:val="lowerRoman"/>
      <w:lvlText w:val="%6."/>
      <w:lvlJc w:val="right"/>
      <w:pPr>
        <w:ind w:left="4005" w:hanging="180"/>
      </w:pPr>
    </w:lvl>
    <w:lvl w:ilvl="6" w:tplc="3C0A000F" w:tentative="1">
      <w:start w:val="1"/>
      <w:numFmt w:val="decimal"/>
      <w:lvlText w:val="%7."/>
      <w:lvlJc w:val="left"/>
      <w:pPr>
        <w:ind w:left="4725" w:hanging="360"/>
      </w:pPr>
    </w:lvl>
    <w:lvl w:ilvl="7" w:tplc="3C0A0019" w:tentative="1">
      <w:start w:val="1"/>
      <w:numFmt w:val="lowerLetter"/>
      <w:lvlText w:val="%8."/>
      <w:lvlJc w:val="left"/>
      <w:pPr>
        <w:ind w:left="5445" w:hanging="360"/>
      </w:pPr>
    </w:lvl>
    <w:lvl w:ilvl="8" w:tplc="3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0DB5408"/>
    <w:multiLevelType w:val="hybridMultilevel"/>
    <w:tmpl w:val="1F7ADB1A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53FA5"/>
    <w:multiLevelType w:val="multilevel"/>
    <w:tmpl w:val="B2AE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30000"/>
    <w:multiLevelType w:val="multilevel"/>
    <w:tmpl w:val="47D6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E489E"/>
    <w:multiLevelType w:val="multilevel"/>
    <w:tmpl w:val="2DAC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00F3B"/>
    <w:multiLevelType w:val="multilevel"/>
    <w:tmpl w:val="00E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B1424"/>
    <w:multiLevelType w:val="multilevel"/>
    <w:tmpl w:val="CA24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8174A"/>
    <w:multiLevelType w:val="hybridMultilevel"/>
    <w:tmpl w:val="3754F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6786D"/>
    <w:multiLevelType w:val="multilevel"/>
    <w:tmpl w:val="7E4A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9604942">
    <w:abstractNumId w:val="3"/>
  </w:num>
  <w:num w:numId="2" w16cid:durableId="2032291104">
    <w:abstractNumId w:val="0"/>
  </w:num>
  <w:num w:numId="3" w16cid:durableId="1970935754">
    <w:abstractNumId w:val="2"/>
  </w:num>
  <w:num w:numId="4" w16cid:durableId="2083092964">
    <w:abstractNumId w:val="12"/>
  </w:num>
  <w:num w:numId="5" w16cid:durableId="1983807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3285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7315565">
    <w:abstractNumId w:val="7"/>
  </w:num>
  <w:num w:numId="8" w16cid:durableId="882642156">
    <w:abstractNumId w:val="6"/>
  </w:num>
  <w:num w:numId="9" w16cid:durableId="1900169867">
    <w:abstractNumId w:val="8"/>
  </w:num>
  <w:num w:numId="10" w16cid:durableId="1677615013">
    <w:abstractNumId w:val="10"/>
  </w:num>
  <w:num w:numId="11" w16cid:durableId="228273584">
    <w:abstractNumId w:val="1"/>
  </w:num>
  <w:num w:numId="12" w16cid:durableId="1538926148">
    <w:abstractNumId w:val="9"/>
  </w:num>
  <w:num w:numId="13" w16cid:durableId="835412901">
    <w:abstractNumId w:val="11"/>
  </w:num>
  <w:num w:numId="14" w16cid:durableId="544948333">
    <w:abstractNumId w:val="4"/>
  </w:num>
  <w:num w:numId="15" w16cid:durableId="180337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B9"/>
    <w:rsid w:val="00000994"/>
    <w:rsid w:val="00007197"/>
    <w:rsid w:val="00020633"/>
    <w:rsid w:val="00021AB6"/>
    <w:rsid w:val="0004283B"/>
    <w:rsid w:val="00045450"/>
    <w:rsid w:val="00055F97"/>
    <w:rsid w:val="00065333"/>
    <w:rsid w:val="000779C9"/>
    <w:rsid w:val="000815C6"/>
    <w:rsid w:val="0008206B"/>
    <w:rsid w:val="000851C0"/>
    <w:rsid w:val="00094598"/>
    <w:rsid w:val="00095C0B"/>
    <w:rsid w:val="000B5436"/>
    <w:rsid w:val="000B7009"/>
    <w:rsid w:val="000B7A55"/>
    <w:rsid w:val="000D0ACC"/>
    <w:rsid w:val="000F6E61"/>
    <w:rsid w:val="001015DE"/>
    <w:rsid w:val="00117C13"/>
    <w:rsid w:val="0012285E"/>
    <w:rsid w:val="00125C83"/>
    <w:rsid w:val="00132F28"/>
    <w:rsid w:val="00134640"/>
    <w:rsid w:val="00144BBE"/>
    <w:rsid w:val="00150228"/>
    <w:rsid w:val="0015034E"/>
    <w:rsid w:val="001506B2"/>
    <w:rsid w:val="00155CB2"/>
    <w:rsid w:val="001578F8"/>
    <w:rsid w:val="0016490A"/>
    <w:rsid w:val="00167679"/>
    <w:rsid w:val="00192B79"/>
    <w:rsid w:val="001934B8"/>
    <w:rsid w:val="001966E4"/>
    <w:rsid w:val="001A3E81"/>
    <w:rsid w:val="001D0008"/>
    <w:rsid w:val="001D7E64"/>
    <w:rsid w:val="001F2E47"/>
    <w:rsid w:val="00205BFF"/>
    <w:rsid w:val="00215112"/>
    <w:rsid w:val="002232AF"/>
    <w:rsid w:val="0022673D"/>
    <w:rsid w:val="002328CE"/>
    <w:rsid w:val="00241CE9"/>
    <w:rsid w:val="002470E2"/>
    <w:rsid w:val="00251565"/>
    <w:rsid w:val="00274599"/>
    <w:rsid w:val="00283F33"/>
    <w:rsid w:val="002C4734"/>
    <w:rsid w:val="002C515A"/>
    <w:rsid w:val="002C590A"/>
    <w:rsid w:val="002F4AA9"/>
    <w:rsid w:val="00310481"/>
    <w:rsid w:val="00315D70"/>
    <w:rsid w:val="003174CE"/>
    <w:rsid w:val="003235ED"/>
    <w:rsid w:val="00324FB4"/>
    <w:rsid w:val="00333A3B"/>
    <w:rsid w:val="00334CAE"/>
    <w:rsid w:val="00341777"/>
    <w:rsid w:val="0034346F"/>
    <w:rsid w:val="00346875"/>
    <w:rsid w:val="00354D43"/>
    <w:rsid w:val="0035707B"/>
    <w:rsid w:val="003705E5"/>
    <w:rsid w:val="003714F0"/>
    <w:rsid w:val="00376066"/>
    <w:rsid w:val="00382048"/>
    <w:rsid w:val="00394114"/>
    <w:rsid w:val="00394406"/>
    <w:rsid w:val="003962CF"/>
    <w:rsid w:val="003A6EDC"/>
    <w:rsid w:val="003A716D"/>
    <w:rsid w:val="003B080D"/>
    <w:rsid w:val="003B589F"/>
    <w:rsid w:val="003B6AE1"/>
    <w:rsid w:val="003C56D8"/>
    <w:rsid w:val="003D15B6"/>
    <w:rsid w:val="00402A59"/>
    <w:rsid w:val="004064E2"/>
    <w:rsid w:val="004123B9"/>
    <w:rsid w:val="004172D0"/>
    <w:rsid w:val="00425059"/>
    <w:rsid w:val="00436EB7"/>
    <w:rsid w:val="004370F9"/>
    <w:rsid w:val="00456EA2"/>
    <w:rsid w:val="0046113C"/>
    <w:rsid w:val="00470526"/>
    <w:rsid w:val="0047527B"/>
    <w:rsid w:val="00482A86"/>
    <w:rsid w:val="004863A3"/>
    <w:rsid w:val="00496CE9"/>
    <w:rsid w:val="004B4060"/>
    <w:rsid w:val="00500628"/>
    <w:rsid w:val="0050290E"/>
    <w:rsid w:val="00503A6F"/>
    <w:rsid w:val="00503B0E"/>
    <w:rsid w:val="005132EE"/>
    <w:rsid w:val="00521B2C"/>
    <w:rsid w:val="0052530E"/>
    <w:rsid w:val="00526EE9"/>
    <w:rsid w:val="00543CDB"/>
    <w:rsid w:val="00544B2B"/>
    <w:rsid w:val="005472CA"/>
    <w:rsid w:val="005600D8"/>
    <w:rsid w:val="0056217A"/>
    <w:rsid w:val="00562489"/>
    <w:rsid w:val="00564164"/>
    <w:rsid w:val="00565223"/>
    <w:rsid w:val="005745EA"/>
    <w:rsid w:val="00580265"/>
    <w:rsid w:val="00583805"/>
    <w:rsid w:val="005873E9"/>
    <w:rsid w:val="00587A0C"/>
    <w:rsid w:val="0059378E"/>
    <w:rsid w:val="005A10B2"/>
    <w:rsid w:val="005B4DCD"/>
    <w:rsid w:val="005C25D8"/>
    <w:rsid w:val="005D4E6E"/>
    <w:rsid w:val="005E04C5"/>
    <w:rsid w:val="005E7AF2"/>
    <w:rsid w:val="005F2929"/>
    <w:rsid w:val="006004D6"/>
    <w:rsid w:val="00600524"/>
    <w:rsid w:val="00602B1E"/>
    <w:rsid w:val="0060682F"/>
    <w:rsid w:val="0062534F"/>
    <w:rsid w:val="0063009C"/>
    <w:rsid w:val="00630268"/>
    <w:rsid w:val="00645200"/>
    <w:rsid w:val="00647C12"/>
    <w:rsid w:val="0065202A"/>
    <w:rsid w:val="006656BA"/>
    <w:rsid w:val="006931F9"/>
    <w:rsid w:val="006A1448"/>
    <w:rsid w:val="006A28A5"/>
    <w:rsid w:val="006A7DAA"/>
    <w:rsid w:val="006B7952"/>
    <w:rsid w:val="006C2A1E"/>
    <w:rsid w:val="006D3ABA"/>
    <w:rsid w:val="006E0D1F"/>
    <w:rsid w:val="006E13BF"/>
    <w:rsid w:val="006F7550"/>
    <w:rsid w:val="00704F38"/>
    <w:rsid w:val="00706DF5"/>
    <w:rsid w:val="0071329F"/>
    <w:rsid w:val="00715865"/>
    <w:rsid w:val="00715C0A"/>
    <w:rsid w:val="00733585"/>
    <w:rsid w:val="00742E3A"/>
    <w:rsid w:val="007531B3"/>
    <w:rsid w:val="00754C86"/>
    <w:rsid w:val="007551E0"/>
    <w:rsid w:val="0075779E"/>
    <w:rsid w:val="007610C6"/>
    <w:rsid w:val="00772891"/>
    <w:rsid w:val="00782136"/>
    <w:rsid w:val="00785FA1"/>
    <w:rsid w:val="00790869"/>
    <w:rsid w:val="007A7218"/>
    <w:rsid w:val="007B21E6"/>
    <w:rsid w:val="007B3192"/>
    <w:rsid w:val="007B4BAB"/>
    <w:rsid w:val="007C65C7"/>
    <w:rsid w:val="007D1450"/>
    <w:rsid w:val="007D61F0"/>
    <w:rsid w:val="007E04B6"/>
    <w:rsid w:val="007F5B46"/>
    <w:rsid w:val="008033E7"/>
    <w:rsid w:val="00805427"/>
    <w:rsid w:val="008110B6"/>
    <w:rsid w:val="00813384"/>
    <w:rsid w:val="00821F5A"/>
    <w:rsid w:val="00823D0B"/>
    <w:rsid w:val="00827DAE"/>
    <w:rsid w:val="0083014F"/>
    <w:rsid w:val="00864FB9"/>
    <w:rsid w:val="00866566"/>
    <w:rsid w:val="00867F56"/>
    <w:rsid w:val="008753EA"/>
    <w:rsid w:val="008756A6"/>
    <w:rsid w:val="008854BE"/>
    <w:rsid w:val="00895F7D"/>
    <w:rsid w:val="008D0E36"/>
    <w:rsid w:val="008D16E4"/>
    <w:rsid w:val="009166E3"/>
    <w:rsid w:val="009202E7"/>
    <w:rsid w:val="00924A1F"/>
    <w:rsid w:val="00940C78"/>
    <w:rsid w:val="0094497F"/>
    <w:rsid w:val="00955249"/>
    <w:rsid w:val="00962C0E"/>
    <w:rsid w:val="009638F0"/>
    <w:rsid w:val="009721E7"/>
    <w:rsid w:val="009936CD"/>
    <w:rsid w:val="00993EE0"/>
    <w:rsid w:val="009A0701"/>
    <w:rsid w:val="009A3DCB"/>
    <w:rsid w:val="009B4059"/>
    <w:rsid w:val="009D20F0"/>
    <w:rsid w:val="009D767A"/>
    <w:rsid w:val="009E2EFB"/>
    <w:rsid w:val="009E48D2"/>
    <w:rsid w:val="009F49BD"/>
    <w:rsid w:val="00A1324D"/>
    <w:rsid w:val="00A161C6"/>
    <w:rsid w:val="00A30477"/>
    <w:rsid w:val="00A37861"/>
    <w:rsid w:val="00A54EC1"/>
    <w:rsid w:val="00A73004"/>
    <w:rsid w:val="00A86942"/>
    <w:rsid w:val="00A86E28"/>
    <w:rsid w:val="00A917E7"/>
    <w:rsid w:val="00A93E77"/>
    <w:rsid w:val="00AB06D0"/>
    <w:rsid w:val="00AB1061"/>
    <w:rsid w:val="00AD77C9"/>
    <w:rsid w:val="00AD785F"/>
    <w:rsid w:val="00AF18B9"/>
    <w:rsid w:val="00AF567A"/>
    <w:rsid w:val="00B027BC"/>
    <w:rsid w:val="00B06D68"/>
    <w:rsid w:val="00B07438"/>
    <w:rsid w:val="00B1434D"/>
    <w:rsid w:val="00B2035D"/>
    <w:rsid w:val="00B231BC"/>
    <w:rsid w:val="00B30224"/>
    <w:rsid w:val="00B30455"/>
    <w:rsid w:val="00B33881"/>
    <w:rsid w:val="00B352BA"/>
    <w:rsid w:val="00B37AFB"/>
    <w:rsid w:val="00B41D5F"/>
    <w:rsid w:val="00B41FCA"/>
    <w:rsid w:val="00B63082"/>
    <w:rsid w:val="00B646AA"/>
    <w:rsid w:val="00B7728A"/>
    <w:rsid w:val="00B971FC"/>
    <w:rsid w:val="00B97F1D"/>
    <w:rsid w:val="00BB09B6"/>
    <w:rsid w:val="00BB1E4D"/>
    <w:rsid w:val="00BB419D"/>
    <w:rsid w:val="00BB6FAE"/>
    <w:rsid w:val="00BC3270"/>
    <w:rsid w:val="00BC52DC"/>
    <w:rsid w:val="00BD6207"/>
    <w:rsid w:val="00BF523B"/>
    <w:rsid w:val="00BF67B7"/>
    <w:rsid w:val="00C03E99"/>
    <w:rsid w:val="00C10994"/>
    <w:rsid w:val="00C123A9"/>
    <w:rsid w:val="00C1629E"/>
    <w:rsid w:val="00C3390A"/>
    <w:rsid w:val="00C37B44"/>
    <w:rsid w:val="00C42062"/>
    <w:rsid w:val="00C43250"/>
    <w:rsid w:val="00C54282"/>
    <w:rsid w:val="00C6450B"/>
    <w:rsid w:val="00C66162"/>
    <w:rsid w:val="00C700DA"/>
    <w:rsid w:val="00C71EAD"/>
    <w:rsid w:val="00C76100"/>
    <w:rsid w:val="00C808B5"/>
    <w:rsid w:val="00C82B20"/>
    <w:rsid w:val="00CA23FE"/>
    <w:rsid w:val="00CA7AAF"/>
    <w:rsid w:val="00CB0F95"/>
    <w:rsid w:val="00CB69BC"/>
    <w:rsid w:val="00D00188"/>
    <w:rsid w:val="00D00CC9"/>
    <w:rsid w:val="00D03148"/>
    <w:rsid w:val="00D1121A"/>
    <w:rsid w:val="00D3788B"/>
    <w:rsid w:val="00D43F72"/>
    <w:rsid w:val="00D440C4"/>
    <w:rsid w:val="00D57BAC"/>
    <w:rsid w:val="00D643DC"/>
    <w:rsid w:val="00D66131"/>
    <w:rsid w:val="00D80832"/>
    <w:rsid w:val="00D839D3"/>
    <w:rsid w:val="00D854B8"/>
    <w:rsid w:val="00D8582C"/>
    <w:rsid w:val="00D9668C"/>
    <w:rsid w:val="00DA5C0B"/>
    <w:rsid w:val="00DA6642"/>
    <w:rsid w:val="00DB485E"/>
    <w:rsid w:val="00DC7CA2"/>
    <w:rsid w:val="00DD1E22"/>
    <w:rsid w:val="00DD7F65"/>
    <w:rsid w:val="00DE267B"/>
    <w:rsid w:val="00DF7CEC"/>
    <w:rsid w:val="00E02CEE"/>
    <w:rsid w:val="00E061BF"/>
    <w:rsid w:val="00E07C4D"/>
    <w:rsid w:val="00E14FD5"/>
    <w:rsid w:val="00E52CE4"/>
    <w:rsid w:val="00E70C31"/>
    <w:rsid w:val="00E737AA"/>
    <w:rsid w:val="00E96A4D"/>
    <w:rsid w:val="00EB1BCD"/>
    <w:rsid w:val="00EB296B"/>
    <w:rsid w:val="00EC47B4"/>
    <w:rsid w:val="00EE3BF0"/>
    <w:rsid w:val="00F10707"/>
    <w:rsid w:val="00F14492"/>
    <w:rsid w:val="00F327E7"/>
    <w:rsid w:val="00F34387"/>
    <w:rsid w:val="00F5047A"/>
    <w:rsid w:val="00F63E21"/>
    <w:rsid w:val="00F659F8"/>
    <w:rsid w:val="00F71F6B"/>
    <w:rsid w:val="00F82728"/>
    <w:rsid w:val="00F83F53"/>
    <w:rsid w:val="00F84EDC"/>
    <w:rsid w:val="00F8696A"/>
    <w:rsid w:val="00F92F0A"/>
    <w:rsid w:val="00F963F7"/>
    <w:rsid w:val="00F96BBB"/>
    <w:rsid w:val="00FA25FE"/>
    <w:rsid w:val="00FB3DBF"/>
    <w:rsid w:val="00FC064B"/>
    <w:rsid w:val="00FD0ECF"/>
    <w:rsid w:val="00FE1BD3"/>
    <w:rsid w:val="00FE2CF5"/>
    <w:rsid w:val="00FE2EA0"/>
    <w:rsid w:val="00FE3CB2"/>
    <w:rsid w:val="00FE72D9"/>
    <w:rsid w:val="00FE735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7D7F"/>
  <w15:chartTrackingRefBased/>
  <w15:docId w15:val="{849561E5-41C5-4E16-A0A8-46E3904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450"/>
    <w:rPr>
      <w:rFonts w:ascii="Calibri" w:eastAsiaTheme="minorEastAsia" w:hAnsi="Calibri"/>
      <w:kern w:val="0"/>
      <w:lang w:val="es-MX" w:eastAsia="es-MX"/>
      <w14:ligatures w14:val="none"/>
    </w:rPr>
  </w:style>
  <w:style w:type="paragraph" w:styleId="Ttulo1">
    <w:name w:val="heading 1"/>
    <w:next w:val="Normal"/>
    <w:link w:val="Ttulo1Car"/>
    <w:uiPriority w:val="9"/>
    <w:qFormat/>
    <w:rsid w:val="00B971FC"/>
    <w:pPr>
      <w:keepNext/>
      <w:keepLines/>
      <w:spacing w:after="117"/>
      <w:ind w:left="10"/>
      <w:outlineLvl w:val="0"/>
    </w:pPr>
    <w:rPr>
      <w:rFonts w:ascii="Calibri" w:eastAsia="Garamond" w:hAnsi="Calibri" w:cs="Garamond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rsid w:val="00B971FC"/>
    <w:pPr>
      <w:keepNext/>
      <w:keepLines/>
      <w:spacing w:after="107" w:line="248" w:lineRule="auto"/>
      <w:ind w:left="1412" w:right="1274" w:hanging="10"/>
      <w:outlineLvl w:val="1"/>
    </w:pPr>
    <w:rPr>
      <w:rFonts w:ascii="Calibri" w:eastAsia="Garamond" w:hAnsi="Calibri" w:cs="Garamond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rsid w:val="00B971FC"/>
    <w:pPr>
      <w:keepNext/>
      <w:keepLines/>
      <w:spacing w:after="107" w:line="248" w:lineRule="auto"/>
      <w:ind w:left="1412" w:right="1274" w:hanging="10"/>
      <w:outlineLvl w:val="2"/>
    </w:pPr>
    <w:rPr>
      <w:rFonts w:ascii="Calibri" w:eastAsia="Garamond" w:hAnsi="Calibri" w:cs="Garamond"/>
      <w:b/>
      <w:color w:val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8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971FC"/>
    <w:pPr>
      <w:keepNext/>
      <w:spacing w:after="2" w:line="343" w:lineRule="auto"/>
      <w:ind w:left="1393" w:right="1336"/>
      <w:jc w:val="center"/>
      <w:outlineLvl w:val="4"/>
    </w:pPr>
    <w:rPr>
      <w:rFonts w:eastAsia="Calibri" w:cs="Calibri"/>
      <w:b/>
      <w:kern w:val="2"/>
      <w:szCs w:val="40"/>
      <w:u w:val="single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8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8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8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8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link w:val="Estilo1Car"/>
    <w:autoRedefine/>
    <w:qFormat/>
    <w:rsid w:val="00805427"/>
    <w:pPr>
      <w:pBdr>
        <w:bottom w:val="double" w:sz="4" w:space="1" w:color="2E74B5" w:themeColor="accent5" w:themeShade="BF"/>
      </w:pBdr>
      <w:tabs>
        <w:tab w:val="center" w:pos="2371"/>
      </w:tabs>
    </w:pPr>
    <w:rPr>
      <w:b w:val="0"/>
      <w:color w:val="0070C0"/>
      <w:lang w:val="es-ES" w:eastAsia="es-ES"/>
    </w:rPr>
  </w:style>
  <w:style w:type="character" w:customStyle="1" w:styleId="Estilo1Car">
    <w:name w:val="Estilo1 Car"/>
    <w:basedOn w:val="Ttulo1Car"/>
    <w:link w:val="Estilo1"/>
    <w:rsid w:val="00805427"/>
    <w:rPr>
      <w:rFonts w:ascii="Calibri" w:eastAsia="Garamond" w:hAnsi="Calibri" w:cs="Calibri"/>
      <w:b w:val="0"/>
      <w:bCs w:val="0"/>
      <w:color w:val="0070C0"/>
      <w:sz w:val="32"/>
      <w:szCs w:val="40"/>
      <w:lang w:val="es-ES" w:eastAsia="es-ES"/>
    </w:rPr>
  </w:style>
  <w:style w:type="character" w:customStyle="1" w:styleId="Ttulo1Car">
    <w:name w:val="Título 1 Car"/>
    <w:link w:val="Ttulo1"/>
    <w:uiPriority w:val="9"/>
    <w:rsid w:val="00B971FC"/>
    <w:rPr>
      <w:rFonts w:ascii="Calibri" w:eastAsia="Garamond" w:hAnsi="Calibri" w:cs="Garamond"/>
      <w:b/>
      <w:color w:val="000000"/>
      <w:sz w:val="32"/>
    </w:rPr>
  </w:style>
  <w:style w:type="character" w:customStyle="1" w:styleId="Ttulo2Car">
    <w:name w:val="Título 2 Car"/>
    <w:link w:val="Ttulo2"/>
    <w:uiPriority w:val="9"/>
    <w:rsid w:val="00B971FC"/>
    <w:rPr>
      <w:rFonts w:ascii="Calibri" w:eastAsia="Garamond" w:hAnsi="Calibri" w:cs="Garamond"/>
      <w:b/>
      <w:color w:val="000000"/>
    </w:rPr>
  </w:style>
  <w:style w:type="character" w:customStyle="1" w:styleId="Ttulo3Car">
    <w:name w:val="Título 3 Car"/>
    <w:link w:val="Ttulo3"/>
    <w:uiPriority w:val="9"/>
    <w:rsid w:val="00B971FC"/>
    <w:rPr>
      <w:rFonts w:ascii="Calibri" w:eastAsia="Garamond" w:hAnsi="Calibri" w:cs="Garamond"/>
      <w:b/>
      <w:color w:val="000000"/>
    </w:rPr>
  </w:style>
  <w:style w:type="paragraph" w:styleId="Prrafodelista">
    <w:name w:val="List Paragraph"/>
    <w:aliases w:val="titulo 5,Título 2.,Párrafo de uninter,Párrafo_Uninter"/>
    <w:basedOn w:val="Ttulo1"/>
    <w:link w:val="PrrafodelistaCar"/>
    <w:uiPriority w:val="34"/>
    <w:qFormat/>
    <w:rsid w:val="00C10994"/>
    <w:pPr>
      <w:spacing w:before="240" w:line="256" w:lineRule="auto"/>
      <w:contextualSpacing/>
    </w:pPr>
    <w:rPr>
      <w:rFonts w:asciiTheme="majorHAnsi" w:eastAsiaTheme="majorEastAsia" w:hAnsiTheme="majorHAnsi" w:cstheme="majorBidi"/>
      <w:b w:val="0"/>
      <w:szCs w:val="32"/>
    </w:rPr>
  </w:style>
  <w:style w:type="character" w:customStyle="1" w:styleId="PrrafodelistaCar">
    <w:name w:val="Párrafo de lista Car"/>
    <w:aliases w:val="titulo 5 Car,Título 2. Car,Párrafo de uninter Car,Párrafo_Uninter Car"/>
    <w:basedOn w:val="Fuentedeprrafopredeter"/>
    <w:link w:val="Prrafodelista"/>
    <w:uiPriority w:val="34"/>
    <w:locked/>
    <w:rsid w:val="00C10994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rsid w:val="00B971FC"/>
    <w:rPr>
      <w:rFonts w:ascii="Calibri" w:eastAsia="Calibri" w:hAnsi="Calibri" w:cs="Calibri"/>
      <w:b/>
      <w:szCs w:val="40"/>
      <w:u w:val="single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8B9"/>
    <w:rPr>
      <w:rFonts w:eastAsiaTheme="majorEastAsia" w:cstheme="majorBidi"/>
      <w:i/>
      <w:iCs/>
      <w:color w:val="2F5496" w:themeColor="accent1" w:themeShade="BF"/>
      <w:kern w:val="0"/>
      <w:lang w:val="es-MX" w:eastAsia="es-MX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8B9"/>
    <w:rPr>
      <w:rFonts w:eastAsiaTheme="majorEastAsia" w:cstheme="majorBidi"/>
      <w:i/>
      <w:iCs/>
      <w:color w:val="595959" w:themeColor="text1" w:themeTint="A6"/>
      <w:kern w:val="0"/>
      <w:lang w:val="es-MX" w:eastAsia="es-MX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8B9"/>
    <w:rPr>
      <w:rFonts w:eastAsiaTheme="majorEastAsia" w:cstheme="majorBidi"/>
      <w:color w:val="595959" w:themeColor="text1" w:themeTint="A6"/>
      <w:kern w:val="0"/>
      <w:lang w:val="es-MX" w:eastAsia="es-MX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8B9"/>
    <w:rPr>
      <w:rFonts w:eastAsiaTheme="majorEastAsia" w:cstheme="majorBidi"/>
      <w:i/>
      <w:iCs/>
      <w:color w:val="272727" w:themeColor="text1" w:themeTint="D8"/>
      <w:kern w:val="0"/>
      <w:lang w:val="es-MX" w:eastAsia="es-MX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8B9"/>
    <w:rPr>
      <w:rFonts w:eastAsiaTheme="majorEastAsia" w:cstheme="majorBidi"/>
      <w:color w:val="272727" w:themeColor="text1" w:themeTint="D8"/>
      <w:kern w:val="0"/>
      <w:lang w:val="es-MX" w:eastAsia="es-MX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F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18B9"/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s-MX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8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18B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MX" w:eastAsia="es-MX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F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18B9"/>
    <w:rPr>
      <w:rFonts w:ascii="Calibri" w:eastAsiaTheme="minorEastAsia" w:hAnsi="Calibri"/>
      <w:i/>
      <w:iCs/>
      <w:color w:val="404040" w:themeColor="text1" w:themeTint="BF"/>
      <w:kern w:val="0"/>
      <w:lang w:val="es-MX" w:eastAsia="es-MX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AF18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8B9"/>
    <w:rPr>
      <w:rFonts w:ascii="Calibri" w:eastAsiaTheme="minorEastAsia" w:hAnsi="Calibri"/>
      <w:i/>
      <w:iCs/>
      <w:color w:val="2F5496" w:themeColor="accent1" w:themeShade="BF"/>
      <w:kern w:val="0"/>
      <w:lang w:val="es-MX" w:eastAsia="es-MX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F18B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5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89F"/>
    <w:rPr>
      <w:rFonts w:ascii="Calibri" w:eastAsiaTheme="minorEastAsia" w:hAnsi="Calibri"/>
      <w:kern w:val="0"/>
      <w:lang w:val="es-MX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B5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89F"/>
    <w:rPr>
      <w:rFonts w:ascii="Calibri" w:eastAsiaTheme="minorEastAsia" w:hAnsi="Calibri"/>
      <w:kern w:val="0"/>
      <w:lang w:val="es-MX" w:eastAsia="es-MX"/>
      <w14:ligatures w14:val="none"/>
    </w:rPr>
  </w:style>
  <w:style w:type="paragraph" w:styleId="Sinespaciado">
    <w:name w:val="No Spacing"/>
    <w:link w:val="SinespaciadoCar"/>
    <w:uiPriority w:val="1"/>
    <w:qFormat/>
    <w:rsid w:val="003B589F"/>
    <w:pPr>
      <w:spacing w:after="0" w:line="240" w:lineRule="auto"/>
    </w:pPr>
    <w:rPr>
      <w:rFonts w:eastAsiaTheme="minorEastAsia"/>
      <w:kern w:val="0"/>
      <w:lang w:val="es-PY" w:eastAsia="es-PY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B589F"/>
    <w:rPr>
      <w:rFonts w:eastAsiaTheme="minorEastAsia"/>
      <w:kern w:val="0"/>
      <w:lang w:val="es-PY" w:eastAsia="es-PY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354D43"/>
    <w:pPr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  <w:lang w:val="es-PY" w:eastAsia="es-PY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54D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54D4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54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>El plan de Extensión Universitaria comprende el desarrollo proyectos y acciones enfocadas a reforzar el aprendizaje académico de los/as estudiantes y la transmisión de conocimientos científicos y prácticos.</Abstract>
  <CompanyAddress/>
  <CompanyPhone/>
  <CompanyFax/>
  <CompanyEmail>extensionung2022@nihongakko.edu.py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B5E768-A3C8-4B63-AA4D-01E18F08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1227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Líneas de extensión universitaria</vt:lpstr>
    </vt:vector>
  </TitlesOfParts>
  <Company>Universidad Nihon Gakko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Líneas de extensión universitaria</dc:title>
  <dc:subject>derecho</dc:subject>
  <dc:creator>Departamento de Extensión Universitaria</dc:creator>
  <cp:keywords/>
  <dc:description/>
  <cp:lastModifiedBy>Fernández Derlis</cp:lastModifiedBy>
  <cp:revision>7</cp:revision>
  <dcterms:created xsi:type="dcterms:W3CDTF">2025-12-29T22:10:00Z</dcterms:created>
  <dcterms:modified xsi:type="dcterms:W3CDTF">2025-12-29T22:52:00Z</dcterms:modified>
  <cp:category>Facultad de Humanidades y Ciencias de la Educación</cp:category>
</cp:coreProperties>
</file>